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9" w:rsidRDefault="00C75E59" w:rsidP="00C75E59">
      <w:pPr>
        <w:pStyle w:val="Pis"/>
        <w:tabs>
          <w:tab w:val="clear" w:pos="4536"/>
          <w:tab w:val="center" w:pos="3960"/>
        </w:tabs>
      </w:pPr>
    </w:p>
    <w:p w:rsidR="00BC0783" w:rsidRDefault="00BC0783" w:rsidP="00BC0783">
      <w:pPr>
        <w:tabs>
          <w:tab w:val="left" w:pos="5245"/>
        </w:tabs>
        <w:jc w:val="right"/>
      </w:pPr>
      <w:r w:rsidRPr="00A24E3F">
        <w:t xml:space="preserve">KINNITATUD </w:t>
      </w:r>
    </w:p>
    <w:p w:rsidR="00BC0783" w:rsidRDefault="00527FE0" w:rsidP="00BC0783">
      <w:pPr>
        <w:tabs>
          <w:tab w:val="left" w:pos="5245"/>
        </w:tabs>
        <w:jc w:val="right"/>
      </w:pPr>
      <w:r>
        <w:t>hooldustöötaja</w:t>
      </w:r>
      <w:r w:rsidR="00BC0783">
        <w:t xml:space="preserve"> </w:t>
      </w:r>
      <w:r>
        <w:t>kutsete kutsekomisjoni</w:t>
      </w:r>
      <w:r w:rsidR="00BC0783" w:rsidRPr="00A24E3F">
        <w:t xml:space="preserve"> </w:t>
      </w:r>
    </w:p>
    <w:p w:rsidR="00BC0783" w:rsidRDefault="00C65548" w:rsidP="002F0B06">
      <w:pPr>
        <w:tabs>
          <w:tab w:val="left" w:pos="5245"/>
        </w:tabs>
        <w:jc w:val="right"/>
      </w:pPr>
      <w:r>
        <w:t xml:space="preserve">31.05.2017 </w:t>
      </w:r>
      <w:r w:rsidR="00BC0783" w:rsidRPr="00A24E3F">
        <w:t>otsusega</w:t>
      </w:r>
      <w:r w:rsidR="00BC0783">
        <w:t xml:space="preserve"> nr </w:t>
      </w:r>
      <w:r>
        <w:t>8</w:t>
      </w:r>
    </w:p>
    <w:p w:rsidR="00196FB6" w:rsidRDefault="00196FB6" w:rsidP="00EF0CCB">
      <w:pPr>
        <w:jc w:val="both"/>
      </w:pPr>
    </w:p>
    <w:p w:rsidR="00CC4230" w:rsidRDefault="00CC4230" w:rsidP="00EF0CCB">
      <w:pPr>
        <w:jc w:val="both"/>
      </w:pPr>
    </w:p>
    <w:p w:rsidR="00196FB6" w:rsidRPr="00F81F58" w:rsidRDefault="00196FB6" w:rsidP="00196FB6">
      <w:pPr>
        <w:jc w:val="center"/>
        <w:rPr>
          <w:rFonts w:cs="Calibri"/>
          <w:b/>
          <w:sz w:val="22"/>
          <w:szCs w:val="22"/>
        </w:rPr>
      </w:pPr>
    </w:p>
    <w:p w:rsidR="00196FB6" w:rsidRPr="00FC1CE2" w:rsidRDefault="00196FB6" w:rsidP="00196FB6">
      <w:pPr>
        <w:jc w:val="center"/>
        <w:rPr>
          <w:rFonts w:cs="Calibri"/>
          <w:b/>
          <w:sz w:val="22"/>
          <w:szCs w:val="22"/>
        </w:rPr>
      </w:pPr>
      <w:r w:rsidRPr="00FC1CE2">
        <w:rPr>
          <w:rFonts w:cs="Calibri"/>
          <w:b/>
          <w:sz w:val="22"/>
          <w:szCs w:val="22"/>
        </w:rPr>
        <w:t xml:space="preserve">HINDAMISSTANDARD </w:t>
      </w:r>
      <w:r w:rsidR="00EF4FE5">
        <w:rPr>
          <w:rFonts w:cs="Calibri"/>
          <w:b/>
          <w:sz w:val="22"/>
          <w:szCs w:val="22"/>
        </w:rPr>
        <w:t>KUTSE HOOLDUSTÖÖTAJA, TASE 3 TÖÖMAAILMA TAOTLEJALE</w:t>
      </w:r>
    </w:p>
    <w:p w:rsidR="00196FB6" w:rsidRDefault="00196FB6" w:rsidP="00196FB6">
      <w:pPr>
        <w:jc w:val="center"/>
        <w:rPr>
          <w:rFonts w:cs="Calibri"/>
          <w:b/>
          <w:sz w:val="22"/>
          <w:szCs w:val="22"/>
        </w:rPr>
      </w:pPr>
    </w:p>
    <w:p w:rsidR="00196FB6" w:rsidRPr="005D2DC3" w:rsidRDefault="00196FB6" w:rsidP="00196FB6">
      <w:pPr>
        <w:jc w:val="center"/>
        <w:rPr>
          <w:rFonts w:cs="Calibri"/>
          <w:b/>
          <w:sz w:val="22"/>
          <w:szCs w:val="22"/>
        </w:rPr>
      </w:pPr>
    </w:p>
    <w:p w:rsidR="00196FB6" w:rsidRPr="008B5689" w:rsidRDefault="00196FB6" w:rsidP="00196FB6">
      <w:pPr>
        <w:rPr>
          <w:b/>
        </w:rPr>
      </w:pPr>
      <w:r w:rsidRPr="008B5689">
        <w:rPr>
          <w:b/>
          <w:bCs/>
        </w:rPr>
        <w:t xml:space="preserve">Kutsestandardi nimetus: </w:t>
      </w:r>
      <w:r w:rsidRPr="008B5689">
        <w:t xml:space="preserve">Hooldustöötaja, </w:t>
      </w:r>
      <w:r w:rsidR="00E46225" w:rsidRPr="008B5689">
        <w:t xml:space="preserve">tase </w:t>
      </w:r>
      <w:r w:rsidRPr="008B5689">
        <w:t>3</w:t>
      </w:r>
    </w:p>
    <w:p w:rsidR="00196FB6" w:rsidRPr="008B5689" w:rsidRDefault="00196FB6" w:rsidP="00196FB6">
      <w:pPr>
        <w:rPr>
          <w:b/>
        </w:rPr>
      </w:pPr>
    </w:p>
    <w:p w:rsidR="00196FB6" w:rsidRPr="008B5689" w:rsidRDefault="00196FB6" w:rsidP="00196FB6">
      <w:pPr>
        <w:jc w:val="both"/>
        <w:rPr>
          <w:b/>
          <w:bCs/>
        </w:rPr>
      </w:pPr>
      <w:r w:rsidRPr="008B5689">
        <w:rPr>
          <w:b/>
          <w:bCs/>
        </w:rPr>
        <w:t xml:space="preserve">EKR tase: </w:t>
      </w:r>
      <w:r w:rsidRPr="008B5689">
        <w:rPr>
          <w:bCs/>
        </w:rPr>
        <w:t>3</w:t>
      </w:r>
    </w:p>
    <w:p w:rsidR="00196FB6" w:rsidRPr="008B5689" w:rsidRDefault="00196FB6" w:rsidP="00196FB6">
      <w:pPr>
        <w:rPr>
          <w:b/>
        </w:rPr>
      </w:pPr>
    </w:p>
    <w:p w:rsidR="00196FB6" w:rsidRPr="008B5689" w:rsidRDefault="00196FB6" w:rsidP="00196FB6">
      <w:r w:rsidRPr="008B5689">
        <w:t>Sisukord:</w:t>
      </w:r>
    </w:p>
    <w:p w:rsidR="00196FB6" w:rsidRPr="008B5689" w:rsidRDefault="00196FB6" w:rsidP="00196FB6">
      <w:pPr>
        <w:numPr>
          <w:ilvl w:val="0"/>
          <w:numId w:val="7"/>
        </w:numPr>
      </w:pPr>
      <w:r w:rsidRPr="008B5689">
        <w:t>Üldine informatsioon</w:t>
      </w:r>
    </w:p>
    <w:p w:rsidR="00196FB6" w:rsidRPr="008B5689" w:rsidRDefault="00196FB6" w:rsidP="00196FB6">
      <w:pPr>
        <w:numPr>
          <w:ilvl w:val="0"/>
          <w:numId w:val="7"/>
        </w:numPr>
      </w:pPr>
      <w:r w:rsidRPr="008B5689">
        <w:t xml:space="preserve">Hindamise korraldus </w:t>
      </w:r>
    </w:p>
    <w:p w:rsidR="00196FB6" w:rsidRPr="008B5689" w:rsidRDefault="00196FB6" w:rsidP="00196FB6">
      <w:pPr>
        <w:numPr>
          <w:ilvl w:val="0"/>
          <w:numId w:val="7"/>
        </w:numPr>
      </w:pPr>
      <w:r w:rsidRPr="008B5689">
        <w:t>Hindamine</w:t>
      </w:r>
    </w:p>
    <w:p w:rsidR="00196FB6" w:rsidRPr="008B5689" w:rsidRDefault="00196FB6" w:rsidP="00196FB6">
      <w:pPr>
        <w:numPr>
          <w:ilvl w:val="0"/>
          <w:numId w:val="7"/>
        </w:numPr>
      </w:pPr>
      <w:r w:rsidRPr="008B5689">
        <w:t>Hindamisjuhend hindajale</w:t>
      </w:r>
    </w:p>
    <w:p w:rsidR="00196FB6" w:rsidRPr="008B5689" w:rsidRDefault="00196FB6" w:rsidP="00914853">
      <w:pPr>
        <w:numPr>
          <w:ilvl w:val="0"/>
          <w:numId w:val="7"/>
        </w:numPr>
      </w:pPr>
      <w:r w:rsidRPr="008B5689">
        <w:t xml:space="preserve">Vormid </w:t>
      </w:r>
      <w:r w:rsidR="00914853">
        <w:t xml:space="preserve">taotlejale, </w:t>
      </w:r>
      <w:r w:rsidRPr="008B5689">
        <w:t>hindajale</w:t>
      </w:r>
    </w:p>
    <w:p w:rsidR="00196FB6" w:rsidRPr="008B5689" w:rsidRDefault="00196FB6" w:rsidP="00196FB6">
      <w:pPr>
        <w:rPr>
          <w:b/>
        </w:rPr>
      </w:pPr>
    </w:p>
    <w:p w:rsidR="00196FB6" w:rsidRPr="008B5689" w:rsidRDefault="00196FB6" w:rsidP="00196FB6">
      <w:pPr>
        <w:tabs>
          <w:tab w:val="left" w:pos="567"/>
        </w:tabs>
        <w:rPr>
          <w:b/>
        </w:rPr>
      </w:pPr>
      <w:r w:rsidRPr="008B5689">
        <w:rPr>
          <w:b/>
        </w:rPr>
        <w:t>1.</w:t>
      </w:r>
      <w:r w:rsidRPr="008B5689">
        <w:rPr>
          <w:b/>
        </w:rPr>
        <w:tab/>
        <w:t>Üldine informatsioon</w:t>
      </w:r>
    </w:p>
    <w:p w:rsidR="00196FB6" w:rsidRPr="008B5689" w:rsidRDefault="00196FB6" w:rsidP="00196FB6">
      <w:pPr>
        <w:jc w:val="both"/>
      </w:pPr>
      <w:r w:rsidRPr="008B5689">
        <w:t xml:space="preserve">Hooldustöötaja kutse või osakutse taotlemisel hinnatakse taotleja kutsekompetentsust. </w:t>
      </w:r>
    </w:p>
    <w:p w:rsidR="00196FB6" w:rsidRPr="008B5689" w:rsidRDefault="00196FB6" w:rsidP="00196FB6">
      <w:pPr>
        <w:tabs>
          <w:tab w:val="left" w:pos="0"/>
        </w:tabs>
        <w:jc w:val="both"/>
      </w:pPr>
      <w:r w:rsidRPr="008B5689">
        <w:t xml:space="preserve">Hindamist teostab hindamiskomisjon. Hindamine viiakse läbi kahes etapis, mis võivad toimuda erinevatel aegadel. </w:t>
      </w:r>
    </w:p>
    <w:p w:rsidR="00196FB6" w:rsidRPr="008B5689" w:rsidRDefault="00196FB6" w:rsidP="00196FB6">
      <w:pPr>
        <w:jc w:val="both"/>
      </w:pPr>
      <w:r w:rsidRPr="008B5689">
        <w:t>Varasema õpingute ja töök</w:t>
      </w:r>
      <w:r w:rsidR="00EF4FE5">
        <w:t>ogemuse arvestamise taotlemisel</w:t>
      </w:r>
      <w:r w:rsidRPr="008B5689">
        <w:t xml:space="preserve"> iga taotlust individuaalselt, vajadusel viiakse läbi lisahindamine.</w:t>
      </w:r>
    </w:p>
    <w:p w:rsidR="00196FB6" w:rsidRPr="008B5689" w:rsidRDefault="00196FB6" w:rsidP="00196FB6">
      <w:pPr>
        <w:tabs>
          <w:tab w:val="left" w:pos="0"/>
        </w:tabs>
        <w:jc w:val="both"/>
      </w:pPr>
    </w:p>
    <w:p w:rsidR="00EF4FE5" w:rsidRPr="008B5689" w:rsidRDefault="00196FB6" w:rsidP="00196FB6">
      <w:pPr>
        <w:tabs>
          <w:tab w:val="left" w:pos="0"/>
        </w:tabs>
        <w:spacing w:before="120"/>
        <w:jc w:val="both"/>
      </w:pPr>
      <w:r w:rsidRPr="008B5689">
        <w:t>Enne kompetentside hindamist</w:t>
      </w:r>
      <w:r w:rsidR="00EF4FE5">
        <w:t xml:space="preserve"> kontrollib kutse andja esitatud dokumentide vastavust</w:t>
      </w:r>
      <w:r w:rsidRPr="008B5689">
        <w:t xml:space="preserve"> taotletava taseme nõuetele ning kutse andmise korras seatud eeltingimu</w:t>
      </w:r>
      <w:r w:rsidR="00EF4FE5">
        <w:t>stele. Puuduste ilmnemisel</w:t>
      </w:r>
      <w:r w:rsidRPr="008B5689">
        <w:t xml:space="preserve"> t</w:t>
      </w:r>
      <w:r w:rsidR="00EF4FE5">
        <w:t>eavitatakse taotlejat</w:t>
      </w:r>
      <w:r w:rsidRPr="008B5689">
        <w:t xml:space="preserve"> </w:t>
      </w:r>
      <w:r w:rsidR="00492074" w:rsidRPr="008B5689">
        <w:t>vastavalt dokumentide</w:t>
      </w:r>
      <w:r w:rsidR="00EF4FE5">
        <w:t xml:space="preserve"> menetlemise korras sätestatule</w:t>
      </w:r>
      <w:r w:rsidRPr="008B5689">
        <w:t xml:space="preserve"> ning antakse tähtaeg puuduste kõrvald</w:t>
      </w:r>
      <w:r w:rsidR="00EF4FE5">
        <w:t>amiseks.</w:t>
      </w:r>
    </w:p>
    <w:p w:rsidR="00196FB6" w:rsidRPr="008B5689" w:rsidRDefault="00196FB6" w:rsidP="00196FB6">
      <w:pPr>
        <w:pStyle w:val="ListParagraph1"/>
        <w:tabs>
          <w:tab w:val="left" w:pos="0"/>
        </w:tabs>
        <w:ind w:left="0"/>
        <w:jc w:val="both"/>
      </w:pPr>
    </w:p>
    <w:p w:rsidR="00196FB6" w:rsidRPr="008B5689" w:rsidRDefault="00196FB6" w:rsidP="00196FB6">
      <w:pPr>
        <w:pStyle w:val="ListParagraph1"/>
        <w:tabs>
          <w:tab w:val="left" w:pos="0"/>
        </w:tabs>
        <w:ind w:left="0"/>
        <w:jc w:val="both"/>
      </w:pPr>
      <w:r w:rsidRPr="008B5689">
        <w:t>Nõuetekohaselt täidetud eeltingimustele vastavad dokumendid ja eneseanalüüs registreeritakse ning edastatakse hindamiskomisjonile.</w:t>
      </w:r>
    </w:p>
    <w:p w:rsidR="00196FB6" w:rsidRPr="008B5689" w:rsidRDefault="00196FB6" w:rsidP="00196FB6">
      <w:pPr>
        <w:pStyle w:val="ListParagraph1"/>
        <w:tabs>
          <w:tab w:val="left" w:pos="0"/>
        </w:tabs>
        <w:ind w:left="0"/>
        <w:jc w:val="both"/>
      </w:pPr>
    </w:p>
    <w:p w:rsidR="00196FB6" w:rsidRPr="008B5689" w:rsidRDefault="00196FB6" w:rsidP="00196FB6">
      <w:pPr>
        <w:pStyle w:val="ListParagraph1"/>
        <w:tabs>
          <w:tab w:val="left" w:pos="0"/>
        </w:tabs>
        <w:ind w:left="0"/>
        <w:jc w:val="both"/>
      </w:pPr>
      <w:r w:rsidRPr="008B5689">
        <w:t>Hindamise toimumise aeg ja koht teatatakse taotlejale kirjalikult peale taotluse esitamise tähtaja lõppu.</w:t>
      </w:r>
    </w:p>
    <w:p w:rsidR="00BA40B0" w:rsidRPr="008B5689" w:rsidRDefault="00BA40B0" w:rsidP="00BA40B0">
      <w:pPr>
        <w:rPr>
          <w:b/>
        </w:rPr>
      </w:pPr>
    </w:p>
    <w:p w:rsidR="00BA40B0" w:rsidRPr="008B5689" w:rsidRDefault="00BA40B0" w:rsidP="007875F0">
      <w:pPr>
        <w:rPr>
          <w:b/>
        </w:rPr>
      </w:pPr>
      <w:r w:rsidRPr="008B5689">
        <w:rPr>
          <w:b/>
        </w:rPr>
        <w:t>2. Hindamise korraldus</w:t>
      </w:r>
    </w:p>
    <w:p w:rsidR="00804395" w:rsidRPr="008B5689" w:rsidRDefault="00804395" w:rsidP="00804395">
      <w:pPr>
        <w:pStyle w:val="WW-Default"/>
        <w:rPr>
          <w:rFonts w:ascii="Times New Roman" w:hAnsi="Times New Roman" w:cs="Times New Roman"/>
          <w:color w:val="auto"/>
        </w:rPr>
      </w:pPr>
      <w:r w:rsidRPr="008B5689">
        <w:rPr>
          <w:rFonts w:ascii="Times New Roman" w:hAnsi="Times New Roman" w:cs="Times New Roman"/>
          <w:color w:val="auto"/>
        </w:rPr>
        <w:t>Kutseeksami läbiviimise korraldamine:</w:t>
      </w:r>
    </w:p>
    <w:p w:rsidR="00804395" w:rsidRPr="008B5689" w:rsidRDefault="00804395" w:rsidP="007875F0">
      <w:pPr>
        <w:pStyle w:val="WW-Default"/>
        <w:rPr>
          <w:rFonts w:ascii="Times New Roman" w:hAnsi="Times New Roman" w:cs="Times New Roman"/>
          <w:color w:val="auto"/>
        </w:rPr>
      </w:pPr>
      <w:r w:rsidRPr="008B5689">
        <w:rPr>
          <w:rFonts w:ascii="Times New Roman" w:hAnsi="Times New Roman" w:cs="Times New Roman"/>
          <w:color w:val="auto"/>
        </w:rPr>
        <w:t>Kutse andjaks on ESTA, kelle volitatud kutsekomisjoni asjaajaja korraldab kutseeksami läbiviimise.</w:t>
      </w:r>
    </w:p>
    <w:p w:rsidR="00804395" w:rsidRPr="008B5689" w:rsidRDefault="00804395" w:rsidP="00804395">
      <w:pPr>
        <w:pStyle w:val="WW-Default"/>
        <w:rPr>
          <w:rFonts w:ascii="Times New Roman" w:hAnsi="Times New Roman" w:cs="Times New Roman"/>
          <w:color w:val="auto"/>
        </w:rPr>
      </w:pPr>
      <w:r w:rsidRPr="008B5689">
        <w:rPr>
          <w:rFonts w:ascii="Times New Roman" w:hAnsi="Times New Roman" w:cs="Times New Roman"/>
          <w:color w:val="auto"/>
        </w:rPr>
        <w:t>Hindamiskomisjoni moodustamine:</w:t>
      </w:r>
    </w:p>
    <w:p w:rsidR="00804395" w:rsidRPr="008B5689" w:rsidRDefault="00804395" w:rsidP="007875F0">
      <w:pPr>
        <w:pStyle w:val="WW-Default"/>
        <w:rPr>
          <w:rFonts w:ascii="Times New Roman" w:hAnsi="Times New Roman" w:cs="Times New Roman"/>
          <w:color w:val="auto"/>
        </w:rPr>
      </w:pPr>
      <w:r w:rsidRPr="008B5689">
        <w:rPr>
          <w:rFonts w:ascii="Times New Roman" w:hAnsi="Times New Roman" w:cs="Times New Roman"/>
          <w:color w:val="auto"/>
        </w:rPr>
        <w:t>Kutse andjaks on ESTA, kutsekomisjon kinnitab 3-liikmelise hindamiskomisjoni.</w:t>
      </w:r>
    </w:p>
    <w:p w:rsidR="00196FB6" w:rsidRPr="008B5689" w:rsidRDefault="00196FB6" w:rsidP="00196FB6">
      <w:pPr>
        <w:jc w:val="both"/>
      </w:pPr>
      <w:r w:rsidRPr="008B5689">
        <w:t xml:space="preserve">Hindamine viiakse läbi kahes etapis:  </w:t>
      </w:r>
    </w:p>
    <w:p w:rsidR="00196FB6" w:rsidRDefault="00196FB6" w:rsidP="00196FB6">
      <w:pPr>
        <w:pStyle w:val="ListParagraph1"/>
        <w:tabs>
          <w:tab w:val="left" w:pos="0"/>
        </w:tabs>
        <w:ind w:left="0"/>
        <w:jc w:val="both"/>
      </w:pPr>
      <w:r w:rsidRPr="008B5689">
        <w:t xml:space="preserve">Hindamise </w:t>
      </w:r>
      <w:r w:rsidRPr="008B5689">
        <w:rPr>
          <w:b/>
        </w:rPr>
        <w:t>esimene etapp – eneseanalüüs.</w:t>
      </w:r>
      <w:r w:rsidR="00EF4FE5">
        <w:t xml:space="preserve"> Hindamiskomisjoni liikmed</w:t>
      </w:r>
      <w:r w:rsidRPr="008B5689">
        <w:t xml:space="preserve"> analüüs</w:t>
      </w:r>
      <w:r w:rsidR="00EF4FE5">
        <w:t>ivad taotleja poolt</w:t>
      </w:r>
      <w:r w:rsidRPr="008B5689">
        <w:t xml:space="preserve"> esitatud eneseanalüüsi, mis annab ülevaate taotleja tegevusest hooldustöötajana. </w:t>
      </w:r>
    </w:p>
    <w:p w:rsidR="00225620" w:rsidRPr="008B5689" w:rsidRDefault="00225620" w:rsidP="00196FB6">
      <w:pPr>
        <w:pStyle w:val="ListParagraph1"/>
        <w:tabs>
          <w:tab w:val="left" w:pos="0"/>
        </w:tabs>
        <w:ind w:left="0"/>
        <w:jc w:val="both"/>
      </w:pPr>
    </w:p>
    <w:p w:rsidR="00196FB6" w:rsidRPr="008B5689" w:rsidRDefault="00393671" w:rsidP="00196FB6">
      <w:pPr>
        <w:jc w:val="both"/>
        <w:rPr>
          <w:b/>
        </w:rPr>
      </w:pPr>
      <w:r w:rsidRPr="008B5689">
        <w:rPr>
          <w:b/>
        </w:rPr>
        <w:t>Hindaja kasutab</w:t>
      </w:r>
      <w:r w:rsidR="001865E0">
        <w:rPr>
          <w:b/>
        </w:rPr>
        <w:t xml:space="preserve"> hindamiseks taotleja poolt esit</w:t>
      </w:r>
      <w:r w:rsidRPr="008B5689">
        <w:rPr>
          <w:b/>
        </w:rPr>
        <w:t xml:space="preserve">atud </w:t>
      </w:r>
      <w:r w:rsidR="00AC2297">
        <w:rPr>
          <w:b/>
        </w:rPr>
        <w:t>eneseanalüüsi vormi (vt vorm V1</w:t>
      </w:r>
      <w:r w:rsidR="00225620">
        <w:rPr>
          <w:b/>
        </w:rPr>
        <w:t>).</w:t>
      </w:r>
    </w:p>
    <w:p w:rsidR="00196FB6" w:rsidRPr="008B5689" w:rsidRDefault="00196FB6" w:rsidP="00196FB6">
      <w:pPr>
        <w:rPr>
          <w:u w:val="single"/>
        </w:rPr>
      </w:pPr>
      <w:r w:rsidRPr="008B5689">
        <w:rPr>
          <w:u w:val="single"/>
        </w:rPr>
        <w:t>Eneseanalüüsi sisu ja vormistamine:</w:t>
      </w:r>
    </w:p>
    <w:p w:rsidR="00196FB6" w:rsidRPr="008B5689" w:rsidRDefault="00196FB6" w:rsidP="00CC510C">
      <w:pPr>
        <w:pStyle w:val="ListParagraph1"/>
        <w:numPr>
          <w:ilvl w:val="0"/>
          <w:numId w:val="9"/>
        </w:numPr>
        <w:tabs>
          <w:tab w:val="left" w:pos="426"/>
        </w:tabs>
        <w:ind w:left="0" w:firstLine="0"/>
      </w:pPr>
      <w:r w:rsidRPr="008B5689">
        <w:t>analüüs töö</w:t>
      </w:r>
      <w:r w:rsidR="000E4DA4" w:rsidRPr="008B5689">
        <w:t>ülesannetest hooldustöötajana (</w:t>
      </w:r>
      <w:r w:rsidRPr="008B5689">
        <w:t>seos kutsestandardis toodud kompetentsusnõuetega);</w:t>
      </w:r>
      <w:r w:rsidR="000E4DA4" w:rsidRPr="008B5689">
        <w:t xml:space="preserve"> </w:t>
      </w:r>
    </w:p>
    <w:p w:rsidR="00196FB6" w:rsidRPr="008B5689" w:rsidRDefault="00196FB6" w:rsidP="00CC510C">
      <w:pPr>
        <w:numPr>
          <w:ilvl w:val="0"/>
          <w:numId w:val="9"/>
        </w:numPr>
        <w:ind w:left="426" w:hanging="426"/>
      </w:pPr>
      <w:r w:rsidRPr="008B5689">
        <w:t>töökogemusest iseseisvalt omandatud oskuste analüüs ja seos kutsestandardis toodud kompetentsusnõuetega;</w:t>
      </w:r>
    </w:p>
    <w:p w:rsidR="00196FB6" w:rsidRPr="008B5689" w:rsidRDefault="00196FB6" w:rsidP="00CC510C">
      <w:pPr>
        <w:numPr>
          <w:ilvl w:val="0"/>
          <w:numId w:val="9"/>
        </w:numPr>
        <w:ind w:left="426" w:hanging="426"/>
      </w:pPr>
      <w:r w:rsidRPr="008B5689">
        <w:t xml:space="preserve">eneseanalüüs vormistatakse järgmiselt: </w:t>
      </w:r>
    </w:p>
    <w:p w:rsidR="00196FB6" w:rsidRPr="008B5689" w:rsidRDefault="00196FB6" w:rsidP="00196FB6">
      <w:pPr>
        <w:ind w:left="1068"/>
        <w:jc w:val="both"/>
      </w:pPr>
      <w:r w:rsidRPr="008B5689">
        <w:t xml:space="preserve">a. Lehekülgede arv </w:t>
      </w:r>
      <w:r w:rsidR="0062695D">
        <w:t>kuni 6</w:t>
      </w:r>
      <w:r w:rsidR="00393671" w:rsidRPr="008B5689">
        <w:t xml:space="preserve"> </w:t>
      </w:r>
      <w:r w:rsidRPr="008B5689">
        <w:t xml:space="preserve">alates punktist „Andmed tööülesannete kohta“  </w:t>
      </w:r>
    </w:p>
    <w:p w:rsidR="00196FB6" w:rsidRPr="008B5689" w:rsidRDefault="00196FB6" w:rsidP="00196FB6">
      <w:pPr>
        <w:ind w:left="1068"/>
        <w:jc w:val="both"/>
      </w:pPr>
      <w:r w:rsidRPr="008B5689">
        <w:t xml:space="preserve">b. Kiri:  font – Times New Roman, suurus 12, </w:t>
      </w:r>
    </w:p>
    <w:p w:rsidR="00196FB6" w:rsidRPr="008B5689" w:rsidRDefault="00196FB6" w:rsidP="00196FB6">
      <w:pPr>
        <w:ind w:left="1068"/>
        <w:jc w:val="both"/>
      </w:pPr>
      <w:r w:rsidRPr="008B5689">
        <w:t xml:space="preserve">c. Reavahe: </w:t>
      </w:r>
      <w:proofErr w:type="spellStart"/>
      <w:r w:rsidRPr="008B5689">
        <w:t>single</w:t>
      </w:r>
      <w:proofErr w:type="spellEnd"/>
      <w:r w:rsidRPr="008B5689">
        <w:t xml:space="preserve">. </w:t>
      </w:r>
    </w:p>
    <w:p w:rsidR="00196FB6" w:rsidRPr="008B5689" w:rsidRDefault="00196FB6" w:rsidP="00CC510C">
      <w:pPr>
        <w:numPr>
          <w:ilvl w:val="0"/>
          <w:numId w:val="9"/>
        </w:numPr>
        <w:ind w:left="426" w:hanging="426"/>
        <w:jc w:val="both"/>
      </w:pPr>
      <w:r w:rsidRPr="008B5689">
        <w:t>eneseanalüüs esitatakse ettenähtud ajaks koos muude dokumentidega kutsekomisjonile etteantud vormis (vt vorm V1).</w:t>
      </w:r>
    </w:p>
    <w:p w:rsidR="00196FB6" w:rsidRPr="008B5689" w:rsidRDefault="00196FB6" w:rsidP="00196FB6">
      <w:pPr>
        <w:jc w:val="both"/>
      </w:pPr>
    </w:p>
    <w:p w:rsidR="00196FB6" w:rsidRPr="008B5689" w:rsidRDefault="00196FB6" w:rsidP="00C65548">
      <w:pPr>
        <w:jc w:val="both"/>
      </w:pPr>
      <w:r w:rsidRPr="008B5689">
        <w:t>Eneseanalüüsiga hinnatakse järgmisi kompetentse:</w:t>
      </w:r>
    </w:p>
    <w:p w:rsidR="00377768" w:rsidRPr="008B5689" w:rsidRDefault="00AC1CF5" w:rsidP="00AC1CF5">
      <w:pPr>
        <w:jc w:val="both"/>
        <w:rPr>
          <w:bCs/>
        </w:rPr>
      </w:pPr>
      <w:r w:rsidRPr="008B5689">
        <w:rPr>
          <w:bCs/>
        </w:rPr>
        <w:t>B.2.1 Abistamine elamistoimingutes ja hooldustegevuste läbiviimine</w:t>
      </w:r>
    </w:p>
    <w:p w:rsidR="00AC1CF5" w:rsidRPr="008B5689" w:rsidRDefault="00AC1CF5" w:rsidP="00AC1CF5">
      <w:pPr>
        <w:jc w:val="both"/>
        <w:rPr>
          <w:bCs/>
          <w:lang w:eastAsia="et-EE"/>
        </w:rPr>
      </w:pPr>
      <w:r w:rsidRPr="008B5689">
        <w:rPr>
          <w:bCs/>
        </w:rPr>
        <w:t>B.2.2 Majapidamistööde korraldamine</w:t>
      </w:r>
    </w:p>
    <w:p w:rsidR="00AC1CF5" w:rsidRPr="008B5689" w:rsidRDefault="00377768" w:rsidP="00AC1CF5">
      <w:pPr>
        <w:jc w:val="both"/>
        <w:rPr>
          <w:bCs/>
          <w:lang w:eastAsia="et-EE"/>
        </w:rPr>
      </w:pPr>
      <w:r w:rsidRPr="008B5689">
        <w:rPr>
          <w:bCs/>
        </w:rPr>
        <w:t xml:space="preserve">B.2.3 </w:t>
      </w:r>
      <w:r w:rsidRPr="008B5689">
        <w:rPr>
          <w:bCs/>
          <w:lang w:eastAsia="et-EE"/>
        </w:rPr>
        <w:t>Esmaabi andmine</w:t>
      </w:r>
    </w:p>
    <w:p w:rsidR="00196FB6" w:rsidRPr="008B5689" w:rsidRDefault="00377768" w:rsidP="00196FB6">
      <w:pPr>
        <w:jc w:val="both"/>
        <w:rPr>
          <w:bCs/>
          <w:lang w:eastAsia="et-EE"/>
        </w:rPr>
      </w:pPr>
      <w:r w:rsidRPr="008B5689">
        <w:rPr>
          <w:bCs/>
        </w:rPr>
        <w:t>B.2.4 Hooldustöötaja, tase 3 kutset läbiv kompetents.</w:t>
      </w:r>
    </w:p>
    <w:p w:rsidR="00196FB6" w:rsidRPr="008B5689" w:rsidRDefault="00196FB6" w:rsidP="00196FB6">
      <w:pPr>
        <w:jc w:val="both"/>
        <w:rPr>
          <w:b/>
        </w:rPr>
      </w:pPr>
    </w:p>
    <w:p w:rsidR="00196FB6" w:rsidRPr="008B5689" w:rsidRDefault="00196FB6" w:rsidP="00196FB6">
      <w:pPr>
        <w:pStyle w:val="ListParagraph1"/>
        <w:tabs>
          <w:tab w:val="left" w:pos="0"/>
        </w:tabs>
        <w:ind w:left="0"/>
        <w:jc w:val="both"/>
      </w:pPr>
      <w:r w:rsidRPr="008B5689">
        <w:rPr>
          <w:b/>
        </w:rPr>
        <w:t>Hindamise teine etapp –vestlus.</w:t>
      </w:r>
    </w:p>
    <w:p w:rsidR="00196FB6" w:rsidRPr="008B5689" w:rsidRDefault="00C65548" w:rsidP="00C65548">
      <w:pPr>
        <w:pStyle w:val="ListParagraph1"/>
        <w:tabs>
          <w:tab w:val="left" w:pos="0"/>
        </w:tabs>
        <w:ind w:left="0"/>
        <w:jc w:val="both"/>
      </w:pPr>
      <w:r w:rsidRPr="008B5689">
        <w:t>V</w:t>
      </w:r>
      <w:r w:rsidR="00196FB6" w:rsidRPr="008B5689">
        <w:t>estluse eesmärgiks on välja selgitada taotleja tööks vajalik</w:t>
      </w:r>
      <w:r w:rsidR="00AC2297">
        <w:t xml:space="preserve">e isiksuseomaduste avaldumine, milleks on </w:t>
      </w:r>
      <w:r w:rsidR="00196FB6" w:rsidRPr="008B5689">
        <w:t>empaatia- ja vastutusvõime, kohusetunne, hoolivus, usaldusväärsus ja ausus. Hinnatakse hooldustöötaja suhtlemisoskust, kõlbelist hoiakut, väärtuste järgimist, pingetaluvust ja tolerantsust.</w:t>
      </w:r>
    </w:p>
    <w:p w:rsidR="00196FB6" w:rsidRPr="008B5689" w:rsidRDefault="00196FB6" w:rsidP="00196FB6"/>
    <w:p w:rsidR="00196FB6" w:rsidRPr="008B5689" w:rsidRDefault="00196FB6" w:rsidP="00196FB6">
      <w:r w:rsidRPr="008B5689">
        <w:t>Vestluse viib läbi hindamiskomisjoni esimees või hindamiskomisjoni liige, kõikidel hindamiskomisjoni liikmetel on õigus esitada taotlejale küsimusi. Hindamise keeleks on eesti keel. Hindamise keel märgitakse ära hindamisprotokollis.</w:t>
      </w:r>
      <w:r w:rsidR="00CD38BA">
        <w:t xml:space="preserve"> </w:t>
      </w:r>
      <w:r w:rsidRPr="008B5689">
        <w:t xml:space="preserve">Vestlus kestab kuni </w:t>
      </w:r>
      <w:r w:rsidR="001D5058" w:rsidRPr="008B5689">
        <w:t>60</w:t>
      </w:r>
      <w:r w:rsidRPr="008B5689">
        <w:t xml:space="preserve"> minutit.</w:t>
      </w:r>
    </w:p>
    <w:p w:rsidR="00196FB6" w:rsidRPr="008B5689" w:rsidRDefault="00196FB6" w:rsidP="00196FB6">
      <w:pPr>
        <w:jc w:val="both"/>
      </w:pPr>
    </w:p>
    <w:p w:rsidR="00196FB6" w:rsidRPr="008B5689" w:rsidRDefault="00196FB6" w:rsidP="00196FB6">
      <w:pPr>
        <w:jc w:val="both"/>
      </w:pPr>
      <w:bookmarkStart w:id="0" w:name="_Hlk485731478"/>
      <w:r w:rsidRPr="008B5689">
        <w:t>Hindamise teises etapis hinnatakse järgmisi kompetentse:</w:t>
      </w:r>
    </w:p>
    <w:p w:rsidR="004E35E5" w:rsidRPr="008B5689" w:rsidRDefault="00196FB6" w:rsidP="004E35E5">
      <w:pPr>
        <w:numPr>
          <w:ilvl w:val="0"/>
          <w:numId w:val="16"/>
        </w:numPr>
        <w:jc w:val="both"/>
        <w:rPr>
          <w:strike/>
        </w:rPr>
      </w:pPr>
      <w:r w:rsidRPr="008B5689">
        <w:rPr>
          <w:bCs/>
          <w:lang w:eastAsia="et-EE"/>
        </w:rPr>
        <w:t xml:space="preserve">Läbiv kompetents </w:t>
      </w:r>
      <w:r w:rsidR="00CA6A8D" w:rsidRPr="008B5689">
        <w:t>(rakendab võrdsuse ja mitmekülgsuse põhimõtteid; austab abivajajaid, nende elukogemust, valikuid ja eelistusi; järgib väärtusi, millel põhineb kvaliteetne hooldus: väärikus, austus, privaatsus ja konfidentsiaalsus; töötab vastavalt eetilistele põhimõtetele;</w:t>
      </w:r>
      <w:r w:rsidR="004038E4" w:rsidRPr="008B5689">
        <w:t xml:space="preserve"> </w:t>
      </w:r>
      <w:r w:rsidR="00CA6A8D" w:rsidRPr="008B5689">
        <w:t>vastutab oma tegude, tööalastest kokkulepetest kinnipidamise ja oma järjepideva arengu eest; märkab olukordi, kus ei piisa tema teadmistest, oskustest ja pädevusest ning vajadusel kutsub abi; järgib valdkonnaga seotud õigusakte; järgib töötervishoiu ja tööohutuse reegleid ning ohutustehnika nõudeid;</w:t>
      </w:r>
      <w:r w:rsidR="004038E4" w:rsidRPr="008B5689">
        <w:t xml:space="preserve"> </w:t>
      </w:r>
      <w:r w:rsidR="00CA6A8D" w:rsidRPr="008B5689">
        <w:t>kasutab hooldustoimingute sooritamisel ergonoomilisi võtteid;</w:t>
      </w:r>
      <w:r w:rsidR="004038E4" w:rsidRPr="008B5689">
        <w:t xml:space="preserve"> </w:t>
      </w:r>
      <w:r w:rsidR="00CA6A8D" w:rsidRPr="008B5689">
        <w:t>püstitab selged eesmärgid; valib vahendid ja ressursid ülesannete täitmiseks; kasutab aega tõhusalt; peab kinni tähtaegadest ja ajakavast;</w:t>
      </w:r>
      <w:r w:rsidR="004038E4" w:rsidRPr="008B5689">
        <w:t xml:space="preserve"> </w:t>
      </w:r>
      <w:r w:rsidR="00CA6A8D" w:rsidRPr="008B5689">
        <w:t>kasutab enda ja teiste ressursse asjakohaselt ja säästlikult, tegutseb tema käsutuses olevatele vahenditele ja keskkonnale vastavalt;</w:t>
      </w:r>
      <w:r w:rsidR="004038E4" w:rsidRPr="008B5689">
        <w:t xml:space="preserve"> </w:t>
      </w:r>
      <w:r w:rsidR="00CA6A8D" w:rsidRPr="008B5689">
        <w:t>tegeleb abi</w:t>
      </w:r>
      <w:r w:rsidR="00C637B1" w:rsidRPr="008B5689">
        <w:t xml:space="preserve">vajaja probleemidega, järgides </w:t>
      </w:r>
      <w:r w:rsidR="00CA6A8D" w:rsidRPr="008B5689">
        <w:t>hoolekandetöö õiguslikke aluseid; hindab abivajaja sotsiaalset võrgustikku ning vajadusel abistab suhtlusvõrgustikuga suhtlemisel;</w:t>
      </w:r>
      <w:r w:rsidR="004038E4" w:rsidRPr="008B5689">
        <w:t xml:space="preserve"> </w:t>
      </w:r>
      <w:r w:rsidR="00CA6A8D" w:rsidRPr="008B5689">
        <w:t>arvestab abivajaja tervislikku seisundit ja toimetulekut suhtes füüsilise, psüühilise ja sotsiaalse keskkonnaga, järgides etteantud juhiseid; arvestab abivajaduse ulatust ja muutusi lähtuvalt abivajaja seisundist, erivajadusest, taustast ja harjumustest; korraldab ja võimalusel kohandab vastavalt abivajaja seisundile ja vajadustele turvalise keskkonna, arvestades etteantud juhiseid; abistab ja toetab abivajajat igapäevaelu korraldamisel ja tema vajaduste rahuldamisel, lähtudes  abivajaja seisundist ja etteantud juhistest, säästes ennast ja keskkonda; märkab abivahendi kasutamise vajadust lähtuvalt toimetulekuvõime langusest, abistab abivahendi hankimisel ja juhendab abivajajat selle kasutamisel vastavalt juhistele;</w:t>
      </w:r>
      <w:r w:rsidR="004038E4" w:rsidRPr="008B5689">
        <w:t xml:space="preserve"> </w:t>
      </w:r>
      <w:r w:rsidR="00CA6A8D" w:rsidRPr="008B5689">
        <w:t>valib suhtlemisviisi vastavalt sihtgrupile; kasutab sobivaid suhtlemisvorme ja -viise, et saavutada usalduslik suhe abivajaja, tema perekonna, hooldajate ja teistega.</w:t>
      </w:r>
      <w:r w:rsidR="00C637B1" w:rsidRPr="008B5689">
        <w:t>)</w:t>
      </w:r>
    </w:p>
    <w:bookmarkEnd w:id="0"/>
    <w:p w:rsidR="00196FB6" w:rsidRPr="008B5689" w:rsidRDefault="004E35E5" w:rsidP="004E35E5">
      <w:pPr>
        <w:rPr>
          <w:b/>
        </w:rPr>
      </w:pPr>
      <w:r w:rsidRPr="008B5689">
        <w:rPr>
          <w:b/>
        </w:rPr>
        <w:t>3. Hindamine</w:t>
      </w:r>
    </w:p>
    <w:p w:rsidR="00196FB6" w:rsidRPr="008B5689" w:rsidRDefault="00196FB6" w:rsidP="00196FB6">
      <w:pPr>
        <w:jc w:val="both"/>
      </w:pPr>
      <w:r w:rsidRPr="008B5689">
        <w:t xml:space="preserve">Kutse taotleja tõendab oma kompetentse koostatud </w:t>
      </w:r>
      <w:r w:rsidRPr="008B5689">
        <w:rPr>
          <w:b/>
        </w:rPr>
        <w:t xml:space="preserve">eneseanalüüsi </w:t>
      </w:r>
      <w:r w:rsidRPr="008B5689">
        <w:t xml:space="preserve"> ja </w:t>
      </w:r>
      <w:r w:rsidRPr="008B5689">
        <w:rPr>
          <w:b/>
        </w:rPr>
        <w:t>vestluse</w:t>
      </w:r>
      <w:r w:rsidR="00CD38BA">
        <w:t xml:space="preserve"> teel </w:t>
      </w:r>
      <w:r w:rsidRPr="008B5689">
        <w:t>, lähtudes kutsestandardi nõuetest. Hindamiskomisjon hindab taotleja kompetentside vastavust taotletava kutse taseme hindamiskriteeriumidele. Kutse saamiseks on vajalik mõlema hindamisetapi läbimine positiivse tulemusega.</w:t>
      </w:r>
    </w:p>
    <w:p w:rsidR="00196FB6" w:rsidRPr="008B5689" w:rsidRDefault="00196FB6" w:rsidP="00196FB6">
      <w:pPr>
        <w:pStyle w:val="ListParagraph1"/>
        <w:ind w:left="0"/>
        <w:jc w:val="both"/>
        <w:rPr>
          <w:b/>
          <w:bCs/>
        </w:rPr>
      </w:pPr>
    </w:p>
    <w:p w:rsidR="00196FB6" w:rsidRPr="008B5689" w:rsidRDefault="00196FB6" w:rsidP="00196FB6">
      <w:pPr>
        <w:rPr>
          <w:u w:val="single"/>
        </w:rPr>
      </w:pPr>
      <w:r w:rsidRPr="008B5689">
        <w:rPr>
          <w:u w:val="single"/>
        </w:rPr>
        <w:t>Hindamismeetodid:</w:t>
      </w:r>
    </w:p>
    <w:p w:rsidR="00196FB6" w:rsidRPr="008B5689" w:rsidRDefault="00196FB6" w:rsidP="00CC510C">
      <w:pPr>
        <w:numPr>
          <w:ilvl w:val="0"/>
          <w:numId w:val="8"/>
        </w:numPr>
        <w:ind w:left="714" w:hanging="357"/>
      </w:pPr>
      <w:r w:rsidRPr="008B5689">
        <w:t xml:space="preserve">taotleja koostab etteantud nõuetele vastava kirjaliku kompetentsipõhise </w:t>
      </w:r>
      <w:r w:rsidRPr="008B5689">
        <w:rPr>
          <w:b/>
        </w:rPr>
        <w:t>eneseanalüüsi</w:t>
      </w:r>
      <w:r w:rsidRPr="008B5689">
        <w:t>;</w:t>
      </w:r>
    </w:p>
    <w:p w:rsidR="00196FB6" w:rsidRPr="008B5689" w:rsidRDefault="00196FB6" w:rsidP="00CC510C">
      <w:pPr>
        <w:numPr>
          <w:ilvl w:val="0"/>
          <w:numId w:val="8"/>
        </w:numPr>
        <w:ind w:left="714" w:hanging="357"/>
        <w:rPr>
          <w:b/>
        </w:rPr>
      </w:pPr>
      <w:r w:rsidRPr="008B5689">
        <w:t>taotleja tõendab kompetentse</w:t>
      </w:r>
      <w:r w:rsidRPr="008B5689">
        <w:rPr>
          <w:b/>
        </w:rPr>
        <w:t xml:space="preserve"> vestlusel</w:t>
      </w:r>
      <w:r w:rsidRPr="008B5689">
        <w:t>, vastates suuliselt hindajate küsimustele.</w:t>
      </w:r>
    </w:p>
    <w:p w:rsidR="00196FB6" w:rsidRPr="008B5689" w:rsidRDefault="00196FB6" w:rsidP="00196FB6">
      <w:pPr>
        <w:jc w:val="both"/>
      </w:pPr>
    </w:p>
    <w:p w:rsidR="00196FB6" w:rsidRPr="008B5689" w:rsidRDefault="00196FB6" w:rsidP="00196FB6">
      <w:pPr>
        <w:jc w:val="both"/>
      </w:pPr>
      <w:r w:rsidRPr="008B5689">
        <w:t>Koostatakse hindamise protokoll. Protokolli koostamise aluseks on hindamis- ja koondhinnangu lehed (hindam</w:t>
      </w:r>
      <w:r w:rsidR="00AC2297">
        <w:t>iskomisjoni soovi korral vorm H1</w:t>
      </w:r>
      <w:r w:rsidRPr="008B5689">
        <w:t>). Protokollile kirjutavad alla kõik hindamiskomisjoni liikmed. Hindamiskomisjoni protokoll on aluseks kutsekomisjonile lõpliku otsuse langetamisel taotlejale kutse andmise/mitteandmise kohta.</w:t>
      </w:r>
    </w:p>
    <w:p w:rsidR="00196FB6" w:rsidRPr="008B5689" w:rsidRDefault="00196FB6" w:rsidP="00196FB6">
      <w:pPr>
        <w:jc w:val="both"/>
      </w:pPr>
    </w:p>
    <w:p w:rsidR="00196FB6" w:rsidRPr="008B5689" w:rsidRDefault="00196FB6" w:rsidP="00196FB6">
      <w:pPr>
        <w:rPr>
          <w:b/>
        </w:rPr>
      </w:pPr>
      <w:r w:rsidRPr="008B5689">
        <w:t xml:space="preserve">Hindamislehti ja koondhinnangut ei tutvustata taotlejale ega teistele isikutele.  </w:t>
      </w:r>
    </w:p>
    <w:p w:rsidR="00196FB6" w:rsidRPr="008B5689" w:rsidRDefault="00196FB6" w:rsidP="00196FB6">
      <w:pPr>
        <w:tabs>
          <w:tab w:val="left" w:pos="426"/>
        </w:tabs>
        <w:rPr>
          <w:b/>
        </w:rPr>
      </w:pPr>
    </w:p>
    <w:p w:rsidR="00196FB6" w:rsidRPr="008B5689" w:rsidRDefault="00196FB6" w:rsidP="004E35E5">
      <w:pPr>
        <w:tabs>
          <w:tab w:val="left" w:pos="426"/>
        </w:tabs>
        <w:rPr>
          <w:b/>
        </w:rPr>
      </w:pPr>
      <w:r w:rsidRPr="008B5689">
        <w:rPr>
          <w:b/>
        </w:rPr>
        <w:t>4.</w:t>
      </w:r>
      <w:r w:rsidRPr="008B5689">
        <w:rPr>
          <w:b/>
        </w:rPr>
        <w:tab/>
        <w:t>Hindamisjuhend hindajale</w:t>
      </w:r>
    </w:p>
    <w:p w:rsidR="00196FB6" w:rsidRPr="008B5689" w:rsidRDefault="00196FB6" w:rsidP="00196FB6">
      <w:pPr>
        <w:ind w:firstLine="284"/>
        <w:rPr>
          <w:u w:val="single"/>
        </w:rPr>
      </w:pPr>
      <w:r w:rsidRPr="008B5689">
        <w:rPr>
          <w:u w:val="single"/>
        </w:rPr>
        <w:t>Enne hindamist tutvuge:</w:t>
      </w:r>
    </w:p>
    <w:p w:rsidR="00196FB6" w:rsidRPr="008B5689" w:rsidRDefault="00196FB6" w:rsidP="00196FB6">
      <w:pPr>
        <w:ind w:firstLine="284"/>
        <w:rPr>
          <w:u w:val="single"/>
        </w:rPr>
      </w:pPr>
    </w:p>
    <w:p w:rsidR="00196FB6" w:rsidRPr="008B5689" w:rsidRDefault="00196FB6" w:rsidP="00196FB6">
      <w:pPr>
        <w:numPr>
          <w:ilvl w:val="0"/>
          <w:numId w:val="6"/>
        </w:numPr>
        <w:tabs>
          <w:tab w:val="left" w:pos="426"/>
        </w:tabs>
      </w:pPr>
      <w:r w:rsidRPr="008B5689">
        <w:t>hooldustöötaja</w:t>
      </w:r>
      <w:r w:rsidR="00E07B50" w:rsidRPr="008B5689">
        <w:t>, tase 3</w:t>
      </w:r>
      <w:r w:rsidRPr="008B5689">
        <w:t xml:space="preserve"> kutsestandardiga,  </w:t>
      </w:r>
    </w:p>
    <w:p w:rsidR="00196FB6" w:rsidRPr="008B5689" w:rsidRDefault="00196FB6" w:rsidP="00196FB6">
      <w:pPr>
        <w:numPr>
          <w:ilvl w:val="0"/>
          <w:numId w:val="6"/>
        </w:numPr>
        <w:tabs>
          <w:tab w:val="left" w:pos="426"/>
        </w:tabs>
      </w:pPr>
      <w:r w:rsidRPr="008B5689">
        <w:t>kompetentsipõhise hindamise mõistete ja põhimõtetega,</w:t>
      </w:r>
    </w:p>
    <w:p w:rsidR="00196FB6" w:rsidRPr="008B5689" w:rsidRDefault="00196FB6" w:rsidP="00196FB6">
      <w:pPr>
        <w:numPr>
          <w:ilvl w:val="0"/>
          <w:numId w:val="6"/>
        </w:numPr>
        <w:tabs>
          <w:tab w:val="left" w:pos="426"/>
        </w:tabs>
      </w:pPr>
      <w:r w:rsidRPr="008B5689">
        <w:t>kutse andmise korraga,</w:t>
      </w:r>
    </w:p>
    <w:p w:rsidR="00196FB6" w:rsidRPr="008B5689" w:rsidRDefault="00196FB6" w:rsidP="00196FB6">
      <w:pPr>
        <w:numPr>
          <w:ilvl w:val="0"/>
          <w:numId w:val="6"/>
        </w:numPr>
        <w:tabs>
          <w:tab w:val="left" w:pos="426"/>
        </w:tabs>
      </w:pPr>
      <w:r w:rsidRPr="008B5689">
        <w:t>taotlejate dokumentide ja eneseanalüüsiga,</w:t>
      </w:r>
    </w:p>
    <w:p w:rsidR="00196FB6" w:rsidRPr="008B5689" w:rsidRDefault="00196FB6" w:rsidP="00196FB6">
      <w:pPr>
        <w:numPr>
          <w:ilvl w:val="0"/>
          <w:numId w:val="6"/>
        </w:numPr>
        <w:tabs>
          <w:tab w:val="left" w:pos="426"/>
        </w:tabs>
      </w:pPr>
      <w:r w:rsidRPr="008B5689">
        <w:t>hindamise üldise informatsiooniga,</w:t>
      </w:r>
    </w:p>
    <w:p w:rsidR="00196FB6" w:rsidRPr="008B5689" w:rsidRDefault="00196FB6" w:rsidP="00196FB6">
      <w:pPr>
        <w:numPr>
          <w:ilvl w:val="0"/>
          <w:numId w:val="6"/>
        </w:numPr>
        <w:tabs>
          <w:tab w:val="left" w:pos="426"/>
        </w:tabs>
      </w:pPr>
      <w:r w:rsidRPr="008B5689">
        <w:t>hindamiskriteeriumidega,</w:t>
      </w:r>
    </w:p>
    <w:p w:rsidR="00196FB6" w:rsidRPr="008B5689" w:rsidRDefault="00196FB6" w:rsidP="00196FB6">
      <w:pPr>
        <w:numPr>
          <w:ilvl w:val="0"/>
          <w:numId w:val="6"/>
        </w:numPr>
        <w:tabs>
          <w:tab w:val="left" w:pos="426"/>
        </w:tabs>
      </w:pPr>
      <w:r w:rsidRPr="008B5689">
        <w:t>hindamismeetoditega,</w:t>
      </w:r>
    </w:p>
    <w:p w:rsidR="00196FB6" w:rsidRPr="008B5689" w:rsidRDefault="00196FB6" w:rsidP="00196FB6">
      <w:pPr>
        <w:numPr>
          <w:ilvl w:val="0"/>
          <w:numId w:val="6"/>
        </w:numPr>
        <w:tabs>
          <w:tab w:val="left" w:pos="426"/>
        </w:tabs>
      </w:pPr>
      <w:r w:rsidRPr="008B5689">
        <w:t>hindamise korraldusega,</w:t>
      </w:r>
    </w:p>
    <w:p w:rsidR="00196FB6" w:rsidRPr="008B5689" w:rsidRDefault="00196FB6" w:rsidP="00196FB6">
      <w:pPr>
        <w:numPr>
          <w:ilvl w:val="0"/>
          <w:numId w:val="6"/>
        </w:numPr>
        <w:tabs>
          <w:tab w:val="left" w:pos="426"/>
        </w:tabs>
      </w:pPr>
      <w:r w:rsidRPr="008B5689">
        <w:t>hindamisel kasutatavate vormidega.</w:t>
      </w:r>
    </w:p>
    <w:p w:rsidR="00196FB6" w:rsidRPr="008B5689" w:rsidRDefault="00196FB6" w:rsidP="00196FB6">
      <w:pPr>
        <w:tabs>
          <w:tab w:val="left" w:pos="284"/>
        </w:tabs>
        <w:rPr>
          <w:u w:val="single"/>
        </w:rPr>
      </w:pPr>
    </w:p>
    <w:p w:rsidR="00196FB6" w:rsidRPr="008B5689" w:rsidRDefault="00196FB6" w:rsidP="00196FB6">
      <w:pPr>
        <w:tabs>
          <w:tab w:val="left" w:pos="284"/>
        </w:tabs>
        <w:ind w:left="284"/>
        <w:rPr>
          <w:u w:val="single"/>
        </w:rPr>
      </w:pPr>
      <w:r w:rsidRPr="008B5689">
        <w:rPr>
          <w:u w:val="single"/>
        </w:rPr>
        <w:t>Hindamise ajal:</w:t>
      </w:r>
    </w:p>
    <w:p w:rsidR="00196FB6" w:rsidRPr="008B5689" w:rsidRDefault="00196FB6" w:rsidP="00196FB6">
      <w:pPr>
        <w:tabs>
          <w:tab w:val="left" w:pos="284"/>
        </w:tabs>
        <w:ind w:left="284"/>
      </w:pPr>
      <w:r w:rsidRPr="008B5689">
        <w:t>•</w:t>
      </w:r>
      <w:r w:rsidRPr="008B5689">
        <w:tab/>
        <w:t>jälgige taotlejat hindamisprotsessis personaalselt,</w:t>
      </w:r>
    </w:p>
    <w:p w:rsidR="00196FB6" w:rsidRPr="008B5689" w:rsidRDefault="00196FB6" w:rsidP="00196FB6">
      <w:pPr>
        <w:tabs>
          <w:tab w:val="left" w:pos="284"/>
        </w:tabs>
        <w:ind w:left="284"/>
      </w:pPr>
      <w:r w:rsidRPr="008B5689">
        <w:t>•</w:t>
      </w:r>
      <w:r w:rsidRPr="008B5689">
        <w:tab/>
        <w:t>täitke taotleja kohta individuaalne hindamisvorm,</w:t>
      </w:r>
    </w:p>
    <w:p w:rsidR="00196FB6" w:rsidRPr="008B5689" w:rsidRDefault="00196FB6" w:rsidP="00196FB6">
      <w:pPr>
        <w:tabs>
          <w:tab w:val="left" w:pos="284"/>
        </w:tabs>
        <w:ind w:left="284"/>
      </w:pPr>
      <w:r w:rsidRPr="008B5689">
        <w:t>•</w:t>
      </w:r>
      <w:r w:rsidRPr="008B5689">
        <w:tab/>
        <w:t>esitage vajadusel küsimusi hindamiskriteeriumide täitmise osas,</w:t>
      </w:r>
    </w:p>
    <w:p w:rsidR="00196FB6" w:rsidRPr="008B5689" w:rsidRDefault="00196FB6" w:rsidP="00196FB6">
      <w:pPr>
        <w:tabs>
          <w:tab w:val="left" w:pos="284"/>
        </w:tabs>
        <w:ind w:left="284"/>
      </w:pPr>
      <w:r w:rsidRPr="008B5689">
        <w:t>•</w:t>
      </w:r>
      <w:r w:rsidRPr="008B5689">
        <w:tab/>
        <w:t>hinnake kutse taotlejat kõikide hindamiskriteeriumide järgi.</w:t>
      </w:r>
    </w:p>
    <w:p w:rsidR="00196FB6" w:rsidRPr="008B5689" w:rsidRDefault="00196FB6" w:rsidP="00196FB6">
      <w:pPr>
        <w:tabs>
          <w:tab w:val="left" w:pos="284"/>
        </w:tabs>
        <w:rPr>
          <w:u w:val="single"/>
        </w:rPr>
      </w:pPr>
    </w:p>
    <w:p w:rsidR="00196FB6" w:rsidRPr="008B5689" w:rsidRDefault="00196FB6" w:rsidP="00196FB6">
      <w:pPr>
        <w:tabs>
          <w:tab w:val="left" w:pos="284"/>
        </w:tabs>
        <w:ind w:left="284"/>
        <w:rPr>
          <w:u w:val="single"/>
        </w:rPr>
      </w:pPr>
      <w:r w:rsidRPr="008B5689">
        <w:rPr>
          <w:u w:val="single"/>
        </w:rPr>
        <w:t>Hindamise järel:</w:t>
      </w:r>
    </w:p>
    <w:p w:rsidR="00196FB6" w:rsidRPr="008B5689" w:rsidRDefault="00196FB6" w:rsidP="008B5689">
      <w:pPr>
        <w:tabs>
          <w:tab w:val="left" w:pos="284"/>
        </w:tabs>
        <w:ind w:left="284"/>
      </w:pPr>
      <w:r w:rsidRPr="008B5689">
        <w:t>•</w:t>
      </w:r>
      <w:r w:rsidRPr="008B5689">
        <w:tab/>
        <w:t>vormistage hindamistulemus.</w:t>
      </w:r>
    </w:p>
    <w:p w:rsidR="00C138F2" w:rsidRPr="008B5689" w:rsidRDefault="00196FB6" w:rsidP="00C138F2">
      <w:pPr>
        <w:rPr>
          <w:b/>
        </w:rPr>
      </w:pPr>
      <w:r w:rsidRPr="008B5689">
        <w:rPr>
          <w:b/>
        </w:rPr>
        <w:br w:type="page"/>
      </w:r>
      <w:bookmarkStart w:id="1" w:name="_Hlk485719873"/>
    </w:p>
    <w:p w:rsidR="00196FB6" w:rsidRPr="008B5689" w:rsidRDefault="00AC2297" w:rsidP="00196FB6">
      <w:pPr>
        <w:rPr>
          <w:b/>
        </w:rPr>
      </w:pPr>
      <w:bookmarkStart w:id="2" w:name="_Hlk485732278"/>
      <w:bookmarkEnd w:id="1"/>
      <w:r>
        <w:rPr>
          <w:b/>
        </w:rPr>
        <w:lastRenderedPageBreak/>
        <w:t>KOONDHINNANGU LEHT (vorm H1</w:t>
      </w:r>
      <w:r w:rsidR="00196FB6" w:rsidRPr="008B5689">
        <w:rPr>
          <w:b/>
        </w:rPr>
        <w:t>)</w:t>
      </w:r>
    </w:p>
    <w:p w:rsidR="00196FB6" w:rsidRPr="008B5689" w:rsidRDefault="00196FB6" w:rsidP="00196FB6"/>
    <w:p w:rsidR="00196FB6" w:rsidRPr="008B5689" w:rsidRDefault="00196FB6" w:rsidP="00196FB6"/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2551"/>
        <w:gridCol w:w="1843"/>
        <w:gridCol w:w="2126"/>
        <w:gridCol w:w="2268"/>
        <w:gridCol w:w="2977"/>
      </w:tblGrid>
      <w:tr w:rsidR="00196FB6" w:rsidRPr="008B5689" w:rsidTr="00AC2297">
        <w:tc>
          <w:tcPr>
            <w:tcW w:w="3007" w:type="dxa"/>
            <w:shd w:val="clear" w:color="auto" w:fill="auto"/>
          </w:tcPr>
          <w:p w:rsidR="00196FB6" w:rsidRPr="008B5689" w:rsidRDefault="00196FB6" w:rsidP="00196FB6">
            <w:pPr>
              <w:jc w:val="center"/>
              <w:rPr>
                <w:b/>
              </w:rPr>
            </w:pPr>
            <w:r w:rsidRPr="008B5689">
              <w:rPr>
                <w:b/>
              </w:rPr>
              <w:t>Taotleja nimi</w:t>
            </w:r>
          </w:p>
        </w:tc>
        <w:tc>
          <w:tcPr>
            <w:tcW w:w="2551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  <w:r w:rsidRPr="008B5689">
              <w:rPr>
                <w:b/>
              </w:rPr>
              <w:t>Taotletava kutse tase</w:t>
            </w:r>
          </w:p>
        </w:tc>
        <w:tc>
          <w:tcPr>
            <w:tcW w:w="1843" w:type="dxa"/>
            <w:shd w:val="clear" w:color="auto" w:fill="auto"/>
          </w:tcPr>
          <w:p w:rsidR="00196FB6" w:rsidRPr="008B5689" w:rsidRDefault="00196FB6" w:rsidP="00196FB6">
            <w:pPr>
              <w:jc w:val="center"/>
              <w:rPr>
                <w:b/>
              </w:rPr>
            </w:pPr>
            <w:r w:rsidRPr="008B5689">
              <w:rPr>
                <w:b/>
              </w:rPr>
              <w:t>Eneseanalüüs</w:t>
            </w:r>
          </w:p>
        </w:tc>
        <w:tc>
          <w:tcPr>
            <w:tcW w:w="2126" w:type="dxa"/>
            <w:shd w:val="clear" w:color="auto" w:fill="auto"/>
          </w:tcPr>
          <w:p w:rsidR="00196FB6" w:rsidRPr="008B5689" w:rsidRDefault="00196FB6" w:rsidP="00196FB6">
            <w:pPr>
              <w:jc w:val="center"/>
              <w:rPr>
                <w:b/>
              </w:rPr>
            </w:pPr>
            <w:proofErr w:type="spellStart"/>
            <w:r w:rsidRPr="008B5689">
              <w:rPr>
                <w:b/>
              </w:rPr>
              <w:t>v</w:t>
            </w:r>
            <w:r w:rsidR="00CD38BA">
              <w:rPr>
                <w:b/>
              </w:rPr>
              <w:t>V</w:t>
            </w:r>
            <w:r w:rsidRPr="008B5689">
              <w:rPr>
                <w:b/>
              </w:rPr>
              <w:t>stlus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96FB6" w:rsidRPr="008B5689" w:rsidRDefault="00CD38BA" w:rsidP="00196FB6">
            <w:pPr>
              <w:jc w:val="center"/>
              <w:rPr>
                <w:b/>
              </w:rPr>
            </w:pPr>
            <w:r>
              <w:rPr>
                <w:b/>
              </w:rPr>
              <w:t>Koond</w:t>
            </w:r>
            <w:r w:rsidR="00196FB6" w:rsidRPr="008B5689">
              <w:rPr>
                <w:b/>
              </w:rPr>
              <w:t>hinnang</w:t>
            </w:r>
          </w:p>
        </w:tc>
        <w:tc>
          <w:tcPr>
            <w:tcW w:w="2977" w:type="dxa"/>
            <w:shd w:val="clear" w:color="auto" w:fill="auto"/>
          </w:tcPr>
          <w:p w:rsidR="00196FB6" w:rsidRPr="008B5689" w:rsidRDefault="00196FB6" w:rsidP="00196FB6">
            <w:pPr>
              <w:jc w:val="center"/>
              <w:rPr>
                <w:b/>
              </w:rPr>
            </w:pPr>
            <w:r w:rsidRPr="008B5689">
              <w:rPr>
                <w:b/>
              </w:rPr>
              <w:t>Märkused</w:t>
            </w:r>
          </w:p>
        </w:tc>
      </w:tr>
      <w:tr w:rsidR="00196FB6" w:rsidRPr="008B5689" w:rsidTr="00AC2297">
        <w:tc>
          <w:tcPr>
            <w:tcW w:w="3007" w:type="dxa"/>
            <w:shd w:val="clear" w:color="auto" w:fill="auto"/>
          </w:tcPr>
          <w:p w:rsidR="00196FB6" w:rsidRDefault="00196FB6" w:rsidP="00196FB6">
            <w:r w:rsidRPr="008B5689">
              <w:t>1</w:t>
            </w:r>
            <w:r w:rsidR="00AC2297">
              <w:t>.</w:t>
            </w:r>
          </w:p>
          <w:p w:rsidR="00AC2297" w:rsidRDefault="00AC2297" w:rsidP="00196FB6"/>
          <w:p w:rsidR="00AC2297" w:rsidRPr="008B5689" w:rsidRDefault="00AC2297" w:rsidP="00196FB6"/>
        </w:tc>
        <w:tc>
          <w:tcPr>
            <w:tcW w:w="2551" w:type="dxa"/>
            <w:shd w:val="clear" w:color="auto" w:fill="auto"/>
          </w:tcPr>
          <w:p w:rsidR="00196FB6" w:rsidRPr="008B5689" w:rsidRDefault="00196FB6" w:rsidP="00196FB6"/>
        </w:tc>
        <w:tc>
          <w:tcPr>
            <w:tcW w:w="1843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</w:tr>
      <w:tr w:rsidR="00196FB6" w:rsidRPr="008B5689" w:rsidTr="00AC2297">
        <w:tc>
          <w:tcPr>
            <w:tcW w:w="3007" w:type="dxa"/>
            <w:shd w:val="clear" w:color="auto" w:fill="auto"/>
          </w:tcPr>
          <w:p w:rsidR="00196FB6" w:rsidRDefault="00196FB6" w:rsidP="00196FB6">
            <w:r w:rsidRPr="008B5689">
              <w:t>2</w:t>
            </w:r>
            <w:r w:rsidR="00AC2297">
              <w:t>.</w:t>
            </w:r>
          </w:p>
          <w:p w:rsidR="00AC2297" w:rsidRDefault="00AC2297" w:rsidP="00196FB6"/>
          <w:p w:rsidR="00AC2297" w:rsidRPr="008B5689" w:rsidRDefault="00AC2297" w:rsidP="00196FB6"/>
        </w:tc>
        <w:tc>
          <w:tcPr>
            <w:tcW w:w="2551" w:type="dxa"/>
            <w:shd w:val="clear" w:color="auto" w:fill="auto"/>
          </w:tcPr>
          <w:p w:rsidR="00196FB6" w:rsidRPr="008B5689" w:rsidRDefault="00196FB6" w:rsidP="00196FB6"/>
        </w:tc>
        <w:tc>
          <w:tcPr>
            <w:tcW w:w="1843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</w:tr>
      <w:tr w:rsidR="00196FB6" w:rsidRPr="008B5689" w:rsidTr="00AC2297">
        <w:tc>
          <w:tcPr>
            <w:tcW w:w="3007" w:type="dxa"/>
            <w:shd w:val="clear" w:color="auto" w:fill="auto"/>
          </w:tcPr>
          <w:p w:rsidR="00196FB6" w:rsidRDefault="00196FB6" w:rsidP="00196FB6">
            <w:r w:rsidRPr="008B5689">
              <w:t>3.</w:t>
            </w:r>
          </w:p>
          <w:p w:rsidR="00AC2297" w:rsidRDefault="00AC2297" w:rsidP="00196FB6"/>
          <w:p w:rsidR="00AC2297" w:rsidRPr="008B5689" w:rsidRDefault="00AC2297" w:rsidP="00196FB6"/>
        </w:tc>
        <w:tc>
          <w:tcPr>
            <w:tcW w:w="2551" w:type="dxa"/>
            <w:shd w:val="clear" w:color="auto" w:fill="auto"/>
          </w:tcPr>
          <w:p w:rsidR="00196FB6" w:rsidRPr="008B5689" w:rsidRDefault="00196FB6" w:rsidP="00196FB6"/>
        </w:tc>
        <w:tc>
          <w:tcPr>
            <w:tcW w:w="1843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</w:tr>
      <w:tr w:rsidR="00196FB6" w:rsidRPr="008B5689" w:rsidTr="00AC2297">
        <w:tc>
          <w:tcPr>
            <w:tcW w:w="3007" w:type="dxa"/>
            <w:shd w:val="clear" w:color="auto" w:fill="auto"/>
          </w:tcPr>
          <w:p w:rsidR="00196FB6" w:rsidRDefault="00196FB6" w:rsidP="00196FB6">
            <w:r w:rsidRPr="008B5689">
              <w:t>4.</w:t>
            </w:r>
          </w:p>
          <w:p w:rsidR="00AC2297" w:rsidRDefault="00AC2297" w:rsidP="00196FB6"/>
          <w:p w:rsidR="00AC2297" w:rsidRPr="008B5689" w:rsidRDefault="00AC2297" w:rsidP="00196FB6"/>
        </w:tc>
        <w:tc>
          <w:tcPr>
            <w:tcW w:w="2551" w:type="dxa"/>
            <w:shd w:val="clear" w:color="auto" w:fill="auto"/>
          </w:tcPr>
          <w:p w:rsidR="00196FB6" w:rsidRPr="008B5689" w:rsidRDefault="00196FB6" w:rsidP="00196FB6"/>
        </w:tc>
        <w:tc>
          <w:tcPr>
            <w:tcW w:w="1843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</w:tr>
      <w:tr w:rsidR="00196FB6" w:rsidRPr="008B5689" w:rsidTr="00AC2297">
        <w:tc>
          <w:tcPr>
            <w:tcW w:w="3007" w:type="dxa"/>
            <w:shd w:val="clear" w:color="auto" w:fill="auto"/>
          </w:tcPr>
          <w:p w:rsidR="00196FB6" w:rsidRDefault="00196FB6" w:rsidP="00196FB6">
            <w:r w:rsidRPr="008B5689">
              <w:t>5.</w:t>
            </w:r>
          </w:p>
          <w:p w:rsidR="00AC2297" w:rsidRDefault="00AC2297" w:rsidP="00196FB6"/>
          <w:p w:rsidR="00AC2297" w:rsidRPr="008B5689" w:rsidRDefault="00AC2297" w:rsidP="00196FB6"/>
        </w:tc>
        <w:tc>
          <w:tcPr>
            <w:tcW w:w="2551" w:type="dxa"/>
            <w:shd w:val="clear" w:color="auto" w:fill="auto"/>
          </w:tcPr>
          <w:p w:rsidR="00196FB6" w:rsidRPr="008B5689" w:rsidRDefault="00196FB6" w:rsidP="00196FB6"/>
        </w:tc>
        <w:tc>
          <w:tcPr>
            <w:tcW w:w="1843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</w:tr>
      <w:tr w:rsidR="00196FB6" w:rsidRPr="008B5689" w:rsidTr="00AC2297">
        <w:tc>
          <w:tcPr>
            <w:tcW w:w="3007" w:type="dxa"/>
            <w:shd w:val="clear" w:color="auto" w:fill="auto"/>
          </w:tcPr>
          <w:p w:rsidR="00196FB6" w:rsidRDefault="00196FB6" w:rsidP="00196FB6">
            <w:r w:rsidRPr="008B5689">
              <w:t>6.</w:t>
            </w:r>
          </w:p>
          <w:p w:rsidR="00AC2297" w:rsidRDefault="00AC2297" w:rsidP="00196FB6"/>
          <w:p w:rsidR="00AC2297" w:rsidRPr="008B5689" w:rsidRDefault="00AC2297" w:rsidP="00196FB6"/>
        </w:tc>
        <w:tc>
          <w:tcPr>
            <w:tcW w:w="2551" w:type="dxa"/>
            <w:shd w:val="clear" w:color="auto" w:fill="auto"/>
          </w:tcPr>
          <w:p w:rsidR="00196FB6" w:rsidRPr="008B5689" w:rsidRDefault="00196FB6" w:rsidP="00196FB6"/>
        </w:tc>
        <w:tc>
          <w:tcPr>
            <w:tcW w:w="1843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96FB6" w:rsidRPr="008B5689" w:rsidRDefault="00196FB6" w:rsidP="00196FB6">
            <w:pPr>
              <w:rPr>
                <w:b/>
              </w:rPr>
            </w:pPr>
          </w:p>
        </w:tc>
      </w:tr>
    </w:tbl>
    <w:p w:rsidR="00196FB6" w:rsidRPr="008B5689" w:rsidRDefault="00196FB6" w:rsidP="00196FB6">
      <w:pPr>
        <w:rPr>
          <w:b/>
        </w:rPr>
      </w:pPr>
    </w:p>
    <w:p w:rsidR="00196FB6" w:rsidRPr="008B5689" w:rsidRDefault="00196FB6" w:rsidP="00196FB6">
      <w:pPr>
        <w:sectPr w:rsidR="00196FB6" w:rsidRPr="008B5689" w:rsidSect="00AC2297">
          <w:headerReference w:type="first" r:id="rId8"/>
          <w:pgSz w:w="16838" w:h="11906" w:orient="landscape"/>
          <w:pgMar w:top="991" w:right="1559" w:bottom="1418" w:left="1418" w:header="708" w:footer="708" w:gutter="0"/>
          <w:cols w:space="708"/>
          <w:titlePg/>
          <w:docGrid w:linePitch="360"/>
        </w:sectPr>
      </w:pPr>
    </w:p>
    <w:p w:rsidR="00196FB6" w:rsidRPr="00FA6C09" w:rsidRDefault="00196FB6" w:rsidP="00196FB6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lastRenderedPageBreak/>
        <w:t>Hindamisprotokolli lisa</w:t>
      </w:r>
    </w:p>
    <w:p w:rsidR="00196FB6" w:rsidRDefault="00196FB6" w:rsidP="00196FB6">
      <w:pPr>
        <w:rPr>
          <w:rFonts w:cs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701"/>
        <w:gridCol w:w="3543"/>
        <w:gridCol w:w="4253"/>
      </w:tblGrid>
      <w:tr w:rsidR="00196FB6" w:rsidRPr="005A2753">
        <w:tc>
          <w:tcPr>
            <w:tcW w:w="340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b/>
                <w:sz w:val="22"/>
                <w:szCs w:val="22"/>
              </w:rPr>
            </w:pPr>
            <w:r w:rsidRPr="005A2753">
              <w:rPr>
                <w:rFonts w:cs="Calibri"/>
                <w:b/>
                <w:sz w:val="22"/>
                <w:szCs w:val="22"/>
              </w:rPr>
              <w:t>Kutse taotleja</w:t>
            </w:r>
          </w:p>
        </w:tc>
        <w:tc>
          <w:tcPr>
            <w:tcW w:w="1276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b/>
                <w:sz w:val="22"/>
                <w:szCs w:val="22"/>
              </w:rPr>
            </w:pPr>
            <w:r w:rsidRPr="005A2753">
              <w:rPr>
                <w:rFonts w:cs="Calibri"/>
                <w:b/>
                <w:sz w:val="22"/>
                <w:szCs w:val="22"/>
              </w:rPr>
              <w:t>Taotletava kutse tase</w:t>
            </w:r>
          </w:p>
        </w:tc>
        <w:tc>
          <w:tcPr>
            <w:tcW w:w="1701" w:type="dxa"/>
            <w:shd w:val="clear" w:color="auto" w:fill="auto"/>
          </w:tcPr>
          <w:p w:rsidR="00196FB6" w:rsidRPr="008B775E" w:rsidRDefault="00196FB6" w:rsidP="00196FB6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Hindamise l</w:t>
            </w:r>
            <w:r w:rsidRPr="008B775E">
              <w:rPr>
                <w:b/>
                <w:sz w:val="22"/>
                <w:szCs w:val="22"/>
              </w:rPr>
              <w:t>äbiviimise keel</w:t>
            </w:r>
          </w:p>
        </w:tc>
        <w:tc>
          <w:tcPr>
            <w:tcW w:w="354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Hindamise</w:t>
            </w:r>
            <w:r w:rsidRPr="005A2753">
              <w:rPr>
                <w:rFonts w:cs="Calibri"/>
                <w:b/>
                <w:sz w:val="22"/>
                <w:szCs w:val="22"/>
              </w:rPr>
              <w:t xml:space="preserve"> tulemus</w:t>
            </w:r>
          </w:p>
        </w:tc>
        <w:tc>
          <w:tcPr>
            <w:tcW w:w="425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b/>
                <w:sz w:val="22"/>
                <w:szCs w:val="22"/>
              </w:rPr>
            </w:pPr>
            <w:r w:rsidRPr="005A2753">
              <w:rPr>
                <w:rFonts w:cs="Calibri"/>
                <w:b/>
                <w:sz w:val="22"/>
                <w:szCs w:val="22"/>
              </w:rPr>
              <w:t>Hindamiskomisjoni ettepanek</w:t>
            </w:r>
          </w:p>
        </w:tc>
      </w:tr>
      <w:tr w:rsidR="00196FB6" w:rsidRPr="005A2753">
        <w:tc>
          <w:tcPr>
            <w:tcW w:w="340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  <w:r w:rsidRPr="005A275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</w:rPr>
            </w:pPr>
            <w:r w:rsidRPr="005A2753">
              <w:rPr>
                <w:rFonts w:cs="Calibri"/>
              </w:rPr>
              <w:t>Kompetentsid tõendatud</w:t>
            </w:r>
            <w:r>
              <w:rPr>
                <w:rFonts w:cs="Calibri"/>
              </w:rPr>
              <w:t>.</w:t>
            </w:r>
            <w:r w:rsidRPr="005A275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/T</w:t>
            </w:r>
            <w:r w:rsidRPr="005A2753">
              <w:rPr>
                <w:rFonts w:cs="Calibri"/>
              </w:rPr>
              <w:t>õendamata kompetents</w:t>
            </w:r>
            <w:r>
              <w:rPr>
                <w:rFonts w:cs="Calibri"/>
              </w:rPr>
              <w:t>(id)</w:t>
            </w:r>
            <w:r w:rsidRPr="005A2753">
              <w:rPr>
                <w:rFonts w:cs="Calibri"/>
              </w:rPr>
              <w:t xml:space="preserve"> </w:t>
            </w:r>
            <w:r w:rsidRPr="00BB2696">
              <w:rPr>
                <w:rFonts w:cs="Calibri"/>
                <w:i/>
              </w:rPr>
              <w:t>(nimetada)...</w:t>
            </w:r>
          </w:p>
        </w:tc>
        <w:tc>
          <w:tcPr>
            <w:tcW w:w="425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Anda/M</w:t>
            </w:r>
            <w:r w:rsidRPr="005A2753">
              <w:rPr>
                <w:rFonts w:cs="Calibri"/>
              </w:rPr>
              <w:t xml:space="preserve">itte anda taotlejale kutse </w:t>
            </w:r>
            <w:r>
              <w:rPr>
                <w:rFonts w:cs="Calibri"/>
              </w:rPr>
              <w:t>hooldustöötaja</w:t>
            </w:r>
            <w:r w:rsidRPr="005A2753">
              <w:rPr>
                <w:rFonts w:cs="Calibri"/>
              </w:rPr>
              <w:t>, tase ...</w:t>
            </w:r>
          </w:p>
        </w:tc>
      </w:tr>
      <w:tr w:rsidR="00196FB6" w:rsidRPr="005A2753">
        <w:tc>
          <w:tcPr>
            <w:tcW w:w="340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  <w:r w:rsidRPr="005A275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</w:tr>
      <w:tr w:rsidR="00196FB6" w:rsidRPr="005A2753">
        <w:tc>
          <w:tcPr>
            <w:tcW w:w="340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  <w:r w:rsidRPr="005A2753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</w:tr>
      <w:tr w:rsidR="00196FB6" w:rsidRPr="005A2753">
        <w:tc>
          <w:tcPr>
            <w:tcW w:w="340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  <w:r w:rsidRPr="005A2753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</w:tr>
      <w:tr w:rsidR="00196FB6" w:rsidRPr="005A2753">
        <w:tc>
          <w:tcPr>
            <w:tcW w:w="340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</w:tr>
      <w:tr w:rsidR="00196FB6" w:rsidRPr="005A2753">
        <w:tc>
          <w:tcPr>
            <w:tcW w:w="340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</w:tr>
      <w:tr w:rsidR="00196FB6" w:rsidRPr="005A2753">
        <w:tc>
          <w:tcPr>
            <w:tcW w:w="340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96FB6" w:rsidRPr="005A2753" w:rsidRDefault="00196FB6" w:rsidP="00196FB6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196FB6" w:rsidRPr="005D2DC3" w:rsidRDefault="00196FB6" w:rsidP="00196FB6">
      <w:pPr>
        <w:rPr>
          <w:rFonts w:cs="Calibri"/>
          <w:sz w:val="22"/>
          <w:szCs w:val="22"/>
        </w:rPr>
      </w:pPr>
    </w:p>
    <w:p w:rsidR="00196FB6" w:rsidRDefault="00196FB6" w:rsidP="00196FB6">
      <w:pPr>
        <w:rPr>
          <w:rFonts w:cs="Calibri"/>
          <w:sz w:val="22"/>
          <w:szCs w:val="22"/>
        </w:rPr>
      </w:pPr>
    </w:p>
    <w:p w:rsidR="00196FB6" w:rsidRDefault="00196FB6" w:rsidP="00196FB6">
      <w:pPr>
        <w:rPr>
          <w:rFonts w:cs="Calibri"/>
          <w:sz w:val="22"/>
          <w:szCs w:val="22"/>
        </w:rPr>
      </w:pPr>
    </w:p>
    <w:p w:rsidR="00196FB6" w:rsidRPr="005D2DC3" w:rsidRDefault="00196FB6" w:rsidP="00196FB6">
      <w:pPr>
        <w:rPr>
          <w:rFonts w:cs="Calibri"/>
          <w:sz w:val="22"/>
          <w:szCs w:val="22"/>
        </w:rPr>
      </w:pPr>
      <w:r w:rsidRPr="0004772E">
        <w:rPr>
          <w:rFonts w:cs="Calibri"/>
          <w:sz w:val="22"/>
          <w:szCs w:val="22"/>
        </w:rPr>
        <w:t>Hindamiskomisjoni</w:t>
      </w:r>
      <w:r w:rsidRPr="005D2DC3">
        <w:rPr>
          <w:rFonts w:cs="Calibri"/>
          <w:sz w:val="22"/>
          <w:szCs w:val="22"/>
        </w:rPr>
        <w:t xml:space="preserve"> esimees: .......................................................</w:t>
      </w:r>
      <w:r>
        <w:rPr>
          <w:rFonts w:cs="Calibri"/>
          <w:sz w:val="22"/>
          <w:szCs w:val="22"/>
        </w:rPr>
        <w:t>......................</w:t>
      </w:r>
    </w:p>
    <w:p w:rsidR="00196FB6" w:rsidRPr="005D2DC3" w:rsidRDefault="00196FB6" w:rsidP="00196FB6">
      <w:pPr>
        <w:ind w:left="2832" w:firstLine="70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(</w:t>
      </w:r>
      <w:r w:rsidRPr="005D2DC3">
        <w:rPr>
          <w:rFonts w:cs="Calibri"/>
          <w:sz w:val="22"/>
          <w:szCs w:val="22"/>
        </w:rPr>
        <w:t>nimi ja allkiri</w:t>
      </w:r>
      <w:r>
        <w:rPr>
          <w:rFonts w:cs="Calibri"/>
          <w:sz w:val="22"/>
          <w:szCs w:val="22"/>
        </w:rPr>
        <w:t>)</w:t>
      </w:r>
    </w:p>
    <w:p w:rsidR="00196FB6" w:rsidRPr="005D2DC3" w:rsidRDefault="00196FB6" w:rsidP="00196FB6">
      <w:pPr>
        <w:rPr>
          <w:rFonts w:cs="Calibri"/>
          <w:sz w:val="22"/>
          <w:szCs w:val="22"/>
        </w:rPr>
      </w:pPr>
    </w:p>
    <w:p w:rsidR="00196FB6" w:rsidRDefault="00196FB6" w:rsidP="00196FB6">
      <w:pPr>
        <w:rPr>
          <w:rFonts w:cs="Calibri"/>
          <w:sz w:val="22"/>
          <w:szCs w:val="22"/>
        </w:rPr>
      </w:pPr>
      <w:r w:rsidRPr="005D2DC3">
        <w:rPr>
          <w:rFonts w:cs="Calibri"/>
          <w:sz w:val="22"/>
          <w:szCs w:val="22"/>
        </w:rPr>
        <w:t>Kuupäev: ...................</w:t>
      </w:r>
      <w:r>
        <w:rPr>
          <w:rFonts w:cs="Calibri"/>
          <w:sz w:val="22"/>
          <w:szCs w:val="22"/>
        </w:rPr>
        <w:t>...............................</w:t>
      </w:r>
    </w:p>
    <w:p w:rsidR="00196FB6" w:rsidRDefault="00196FB6" w:rsidP="00196FB6">
      <w:pPr>
        <w:rPr>
          <w:rFonts w:cs="Calibri"/>
          <w:sz w:val="22"/>
          <w:szCs w:val="22"/>
        </w:rPr>
      </w:pPr>
    </w:p>
    <w:p w:rsidR="00196FB6" w:rsidRDefault="00196FB6" w:rsidP="00196FB6">
      <w:pPr>
        <w:rPr>
          <w:rFonts w:cs="Calibri"/>
          <w:sz w:val="22"/>
          <w:szCs w:val="22"/>
        </w:rPr>
        <w:sectPr w:rsidR="00196FB6" w:rsidSect="00196FB6">
          <w:pgSz w:w="16838" w:h="11906" w:orient="landscape"/>
          <w:pgMar w:top="1418" w:right="1418" w:bottom="1418" w:left="1559" w:header="709" w:footer="709" w:gutter="0"/>
          <w:cols w:space="708"/>
          <w:docGrid w:linePitch="360"/>
        </w:sectPr>
      </w:pPr>
    </w:p>
    <w:p w:rsidR="00196FB6" w:rsidRDefault="00914853" w:rsidP="00196FB6">
      <w:pPr>
        <w:rPr>
          <w:rStyle w:val="BookTitle1"/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lastRenderedPageBreak/>
        <w:t>5</w:t>
      </w:r>
      <w:r w:rsidR="00196FB6" w:rsidRPr="007D6D18">
        <w:rPr>
          <w:rFonts w:cs="Calibri"/>
          <w:b/>
          <w:sz w:val="22"/>
          <w:szCs w:val="22"/>
        </w:rPr>
        <w:t>.</w:t>
      </w:r>
      <w:r w:rsidR="00196FB6" w:rsidRPr="007D6D18">
        <w:rPr>
          <w:rFonts w:cs="Calibri"/>
          <w:sz w:val="22"/>
          <w:szCs w:val="22"/>
        </w:rPr>
        <w:t xml:space="preserve"> </w:t>
      </w:r>
      <w:r w:rsidR="00196FB6">
        <w:rPr>
          <w:rFonts w:cs="Calibri"/>
          <w:b/>
          <w:sz w:val="22"/>
          <w:szCs w:val="22"/>
        </w:rPr>
        <w:t>Vormid taotle</w:t>
      </w:r>
      <w:r w:rsidR="00196FB6" w:rsidRPr="007D6D18">
        <w:rPr>
          <w:rFonts w:cs="Calibri"/>
          <w:b/>
          <w:sz w:val="22"/>
          <w:szCs w:val="22"/>
        </w:rPr>
        <w:t>jale</w:t>
      </w:r>
      <w:r>
        <w:rPr>
          <w:rFonts w:cs="Calibri"/>
          <w:b/>
          <w:sz w:val="22"/>
          <w:szCs w:val="22"/>
        </w:rPr>
        <w:t>, hindajale.</w:t>
      </w:r>
    </w:p>
    <w:bookmarkEnd w:id="2"/>
    <w:p w:rsidR="00196FB6" w:rsidRDefault="00196FB6" w:rsidP="00196FB6">
      <w:pPr>
        <w:rPr>
          <w:rFonts w:cs="Calibri"/>
          <w:sz w:val="22"/>
          <w:szCs w:val="22"/>
        </w:rPr>
      </w:pPr>
    </w:p>
    <w:p w:rsidR="00196FB6" w:rsidRDefault="00196FB6" w:rsidP="00196FB6">
      <w:pPr>
        <w:rPr>
          <w:rFonts w:cs="Calibri"/>
          <w:b/>
          <w:sz w:val="22"/>
          <w:szCs w:val="22"/>
        </w:rPr>
      </w:pPr>
      <w:r w:rsidRPr="00712108">
        <w:rPr>
          <w:rFonts w:cs="Calibri"/>
          <w:b/>
          <w:sz w:val="22"/>
          <w:szCs w:val="22"/>
        </w:rPr>
        <w:t>ENESEANALÜÜS PRAKTILISE TÖÖKOGEMUSE KOHTA</w:t>
      </w:r>
      <w:r>
        <w:rPr>
          <w:rFonts w:cs="Calibri"/>
          <w:b/>
          <w:sz w:val="22"/>
          <w:szCs w:val="22"/>
        </w:rPr>
        <w:t xml:space="preserve"> (vorm </w:t>
      </w:r>
      <w:r w:rsidRPr="00712108">
        <w:rPr>
          <w:rFonts w:cs="Calibri"/>
          <w:b/>
          <w:sz w:val="22"/>
          <w:szCs w:val="22"/>
        </w:rPr>
        <w:t>V1</w:t>
      </w:r>
      <w:r>
        <w:rPr>
          <w:rFonts w:cs="Calibri"/>
          <w:b/>
          <w:sz w:val="22"/>
          <w:szCs w:val="22"/>
        </w:rPr>
        <w:t>)</w:t>
      </w:r>
    </w:p>
    <w:p w:rsidR="00AA4CAC" w:rsidRDefault="00AA4CAC" w:rsidP="00AA4CAC">
      <w:pPr>
        <w:autoSpaceDE w:val="0"/>
        <w:jc w:val="center"/>
        <w:rPr>
          <w:rFonts w:ascii="Times-Roman" w:hAnsi="Times-Roman" w:cs="Times-Roman"/>
        </w:rPr>
      </w:pPr>
    </w:p>
    <w:p w:rsidR="00AA4CAC" w:rsidRDefault="00AA4CAC" w:rsidP="00AA4CAC">
      <w:pPr>
        <w:pStyle w:val="Standard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Hooldustöötaja, tase 3</w:t>
      </w:r>
    </w:p>
    <w:p w:rsidR="00AA4CAC" w:rsidRDefault="00AA4CAC" w:rsidP="00AA4CAC">
      <w:pPr>
        <w:pStyle w:val="Standard"/>
        <w:rPr>
          <w:rFonts w:hint="eastAsia"/>
          <w:b/>
          <w:sz w:val="22"/>
          <w:szCs w:val="22"/>
        </w:rPr>
      </w:pPr>
    </w:p>
    <w:p w:rsidR="00AA4CAC" w:rsidRPr="00225620" w:rsidRDefault="00AA4CAC" w:rsidP="00AA4CAC">
      <w:pPr>
        <w:pStyle w:val="ListParagraph1"/>
        <w:ind w:left="0"/>
        <w:jc w:val="both"/>
        <w:rPr>
          <w:b/>
        </w:rPr>
      </w:pPr>
      <w:r w:rsidRPr="00225620">
        <w:rPr>
          <w:b/>
        </w:rPr>
        <w:t>Taotleja nimi:</w:t>
      </w:r>
      <w:r w:rsidR="00225620" w:rsidRPr="00225620">
        <w:rPr>
          <w:b/>
        </w:rPr>
        <w:t>............................................</w:t>
      </w:r>
    </w:p>
    <w:p w:rsidR="00AA4CAC" w:rsidRDefault="00AA4CAC" w:rsidP="00AA4CAC">
      <w:pPr>
        <w:pStyle w:val="ListParagraph1"/>
        <w:ind w:left="0"/>
        <w:jc w:val="both"/>
      </w:pPr>
    </w:p>
    <w:p w:rsidR="00AA4CAC" w:rsidRDefault="00AA4CAC" w:rsidP="00AA4CAC">
      <w:pPr>
        <w:pStyle w:val="ListParagraph1"/>
        <w:ind w:left="0"/>
        <w:jc w:val="both"/>
        <w:rPr>
          <w:b/>
          <w:bCs/>
        </w:rPr>
      </w:pPr>
      <w:r>
        <w:rPr>
          <w:b/>
          <w:bCs/>
        </w:rPr>
        <w:t>Hindamise esimene etapp – eneseanalüüs.</w:t>
      </w:r>
    </w:p>
    <w:p w:rsidR="00AA4CAC" w:rsidRDefault="00AA4CAC" w:rsidP="00AA4CAC">
      <w:pPr>
        <w:pStyle w:val="ListParagraph1"/>
        <w:ind w:left="0"/>
        <w:jc w:val="both"/>
      </w:pPr>
      <w:r>
        <w:t>Hindajad tutvuvad taotleja poolt paberkandjal esitatud eneseanalüüsiga, mis annab ülevaate taotleja tegevusest hooldustöötajana.</w:t>
      </w:r>
    </w:p>
    <w:p w:rsidR="00AA4CAC" w:rsidRDefault="00AA4CAC" w:rsidP="00AA4CAC">
      <w:pPr>
        <w:pStyle w:val="ListParagraph1"/>
        <w:ind w:left="0"/>
        <w:jc w:val="both"/>
        <w:rPr>
          <w:b/>
          <w:bCs/>
        </w:rPr>
      </w:pPr>
      <w:r>
        <w:rPr>
          <w:b/>
          <w:bCs/>
        </w:rPr>
        <w:t>ENESEANALÜÜS</w:t>
      </w:r>
    </w:p>
    <w:p w:rsidR="00AA4CAC" w:rsidRDefault="00AA4CAC" w:rsidP="00AA4CAC">
      <w:pPr>
        <w:pStyle w:val="ListParagraph1"/>
        <w:ind w:left="0"/>
        <w:jc w:val="both"/>
        <w:rPr>
          <w:b/>
          <w:bCs/>
        </w:rPr>
      </w:pPr>
      <w:r>
        <w:rPr>
          <w:b/>
          <w:bCs/>
        </w:rPr>
        <w:t>Eneseanalüüsi koostamise juhend</w:t>
      </w:r>
    </w:p>
    <w:p w:rsidR="00AA4CAC" w:rsidRDefault="00AA4CAC" w:rsidP="00AA4CAC">
      <w:pPr>
        <w:pStyle w:val="ListParagraph1"/>
        <w:ind w:left="0"/>
        <w:jc w:val="both"/>
      </w:pPr>
      <w:r>
        <w:t xml:space="preserve">Eneseanalüüs näitab kutse taotleja kompetentsust, oskust seostada igapäevatööd </w:t>
      </w:r>
      <w:r>
        <w:rPr>
          <w:rStyle w:val="Liguvaikefont1"/>
        </w:rPr>
        <w:t>teadmiste, oskuste ja hoiakute/</w:t>
      </w:r>
      <w:r>
        <w:t xml:space="preserve">teoreetiliste </w:t>
      </w:r>
      <w:r>
        <w:rPr>
          <w:rStyle w:val="Liguvaikefont1"/>
        </w:rPr>
        <w:t xml:space="preserve">ning </w:t>
      </w:r>
      <w:r>
        <w:t>kogemuslike teadmistega.</w:t>
      </w:r>
    </w:p>
    <w:p w:rsidR="00AA4CAC" w:rsidRDefault="00AA4CAC" w:rsidP="00AA4CAC">
      <w:pPr>
        <w:pStyle w:val="ListParagraph1"/>
        <w:ind w:left="0"/>
        <w:jc w:val="both"/>
      </w:pPr>
      <w:r>
        <w:t>Kutse taotlejal tuleb kirjeldada, analüüsida ja põhjendada oma praktikat tööosade kaupa. Oma töö erinevate tahkude väljatoomiseks on tööosade juures küsimused tegevusnäitajate kohta.</w:t>
      </w:r>
    </w:p>
    <w:p w:rsidR="00AA4CAC" w:rsidRDefault="00AA4CAC" w:rsidP="00AA4CAC">
      <w:pPr>
        <w:pStyle w:val="ListParagraph1"/>
        <w:ind w:left="0"/>
        <w:jc w:val="both"/>
      </w:pPr>
      <w:r>
        <w:rPr>
          <w:rStyle w:val="Liguvaikefont1"/>
          <w:b/>
          <w:bCs/>
        </w:rPr>
        <w:t>Tööosade valdamist tõendage mõne iseloomuliku näitega. Kirjeldage õnnestumisi ja selgitage, mis sellele kaasa aitas. Analüüsige ebaõnnestumisi ning selleni viinud asjaolusid.</w:t>
      </w:r>
    </w:p>
    <w:p w:rsidR="00AA4CAC" w:rsidRDefault="00AA4CAC" w:rsidP="00AA4CAC">
      <w:pPr>
        <w:pStyle w:val="ListParagraph1"/>
        <w:ind w:left="0"/>
        <w:jc w:val="both"/>
      </w:pPr>
      <w:r>
        <w:t xml:space="preserve">Iga </w:t>
      </w:r>
      <w:proofErr w:type="spellStart"/>
      <w:r>
        <w:t>tööosa</w:t>
      </w:r>
      <w:proofErr w:type="spellEnd"/>
      <w:r>
        <w:t xml:space="preserve"> puhul selgitage, millistele teadmistele, oskustele ja väärtushoiakutele toetudes just niimoodi toimite, milliseid meetodeid kasutate.</w:t>
      </w:r>
    </w:p>
    <w:p w:rsidR="00AA4CAC" w:rsidRDefault="00AA4CAC" w:rsidP="00AA4CAC">
      <w:pPr>
        <w:pStyle w:val="ListParagraph1"/>
        <w:ind w:left="0"/>
        <w:jc w:val="both"/>
      </w:pPr>
      <w:r>
        <w:t xml:space="preserve">Kui mõni </w:t>
      </w:r>
      <w:proofErr w:type="spellStart"/>
      <w:r>
        <w:t>tööosa</w:t>
      </w:r>
      <w:proofErr w:type="spellEnd"/>
      <w:r>
        <w:t xml:space="preserve"> ei kuulu igapäevasesse praktikasse, siis selgitage, milliseid teadmisi ja oskusi kasutaksite, kui peaksite seda </w:t>
      </w:r>
      <w:r>
        <w:rPr>
          <w:rStyle w:val="Liguvaikefont1"/>
        </w:rPr>
        <w:t>tööd</w:t>
      </w:r>
      <w:r>
        <w:t xml:space="preserve"> tegema hakkama, kirjeldage ja analüüsige vastavat praktikat oma töökohas või mõnes teises asutuses.</w:t>
      </w:r>
    </w:p>
    <w:p w:rsidR="00AA4CAC" w:rsidRDefault="00AA4CAC" w:rsidP="00AA4CAC">
      <w:pPr>
        <w:pStyle w:val="ListParagraph1"/>
        <w:ind w:left="0"/>
        <w:jc w:val="both"/>
      </w:pPr>
      <w:r>
        <w:t>Vältige võõra teksti kasutamist ja tegevusnäitajate kopeerimist.</w:t>
      </w:r>
    </w:p>
    <w:p w:rsidR="00AA4CAC" w:rsidRDefault="00AA4CAC" w:rsidP="00AA4CAC">
      <w:pPr>
        <w:pStyle w:val="ListParagraph1"/>
        <w:ind w:left="0"/>
        <w:jc w:val="both"/>
      </w:pPr>
    </w:p>
    <w:p w:rsidR="00AA4CAC" w:rsidRDefault="00AA4CAC" w:rsidP="00AA4CAC">
      <w:pPr>
        <w:pStyle w:val="Normaallaad1"/>
        <w:rPr>
          <w:rFonts w:hint="eastAsia"/>
          <w:vanish/>
          <w:lang w:eastAsia="ar-S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367"/>
        <w:gridCol w:w="8218"/>
        <w:gridCol w:w="795"/>
        <w:gridCol w:w="740"/>
      </w:tblGrid>
      <w:tr w:rsidR="00B3523E" w:rsidTr="00B11BF5">
        <w:tc>
          <w:tcPr>
            <w:tcW w:w="48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23E" w:rsidRDefault="00B3523E" w:rsidP="00981607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Liguvaikefont1"/>
                <w:b/>
                <w:bCs/>
              </w:rPr>
              <w:t>TÖÖOSAD</w:t>
            </w:r>
          </w:p>
        </w:tc>
        <w:tc>
          <w:tcPr>
            <w:tcW w:w="82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3E" w:rsidRDefault="00B3523E" w:rsidP="00B3523E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ENESEANALÜÜS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23E" w:rsidRDefault="00B3523E" w:rsidP="00B3523E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HINNANG</w:t>
            </w:r>
          </w:p>
          <w:p w:rsidR="00B3523E" w:rsidRDefault="00B3523E" w:rsidP="00B3523E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Täidab hindaja</w:t>
            </w:r>
          </w:p>
        </w:tc>
      </w:tr>
      <w:tr w:rsidR="00B3523E" w:rsidTr="00B11BF5">
        <w:tc>
          <w:tcPr>
            <w:tcW w:w="481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23E" w:rsidRDefault="00B3523E" w:rsidP="00981607">
            <w:pPr>
              <w:pStyle w:val="Standard"/>
              <w:jc w:val="center"/>
              <w:rPr>
                <w:rStyle w:val="Liguvaikefont1"/>
                <w:b/>
                <w:bCs/>
              </w:rPr>
            </w:pPr>
          </w:p>
        </w:tc>
        <w:tc>
          <w:tcPr>
            <w:tcW w:w="82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3E" w:rsidRDefault="00B3523E" w:rsidP="00981607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23E" w:rsidRDefault="00B3523E" w:rsidP="009816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JAH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23E" w:rsidRDefault="00B3523E" w:rsidP="009816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</w:t>
            </w:r>
          </w:p>
        </w:tc>
      </w:tr>
      <w:tr w:rsidR="00B3523E" w:rsidTr="000D0B35">
        <w:tc>
          <w:tcPr>
            <w:tcW w:w="13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23E" w:rsidRDefault="00B3523E" w:rsidP="00981607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rStyle w:val="Liguvaikefont1"/>
                <w:b/>
                <w:sz w:val="22"/>
                <w:szCs w:val="22"/>
              </w:rPr>
              <w:t xml:space="preserve">Kompetents </w:t>
            </w:r>
            <w:r>
              <w:rPr>
                <w:rStyle w:val="Liguvaikefont1"/>
                <w:b/>
                <w:color w:val="000000"/>
                <w:sz w:val="22"/>
                <w:szCs w:val="22"/>
              </w:rPr>
              <w:t xml:space="preserve">ABISTAMINE </w:t>
            </w:r>
            <w:r>
              <w:rPr>
                <w:rStyle w:val="Liguvaikefont1"/>
                <w:b/>
                <w:sz w:val="22"/>
                <w:szCs w:val="22"/>
              </w:rPr>
              <w:t>ELAMISTOIMINGUTES JA HOOLDUSTEGEVUSTE LÄBIVIIMINE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23E" w:rsidRDefault="00B3523E" w:rsidP="0098160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23E" w:rsidRDefault="00B3523E" w:rsidP="00981607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planeerite ja teete hooldustegevusi?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teavitate tervislikust toitumisest ning jälgite toidukõlblikkust ja toiduhügieeni?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3.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jälgite abivajaja toitumist?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lastRenderedPageBreak/>
              <w:t>4.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tabs>
                <w:tab w:val="left" w:pos="-1701"/>
                <w:tab w:val="left" w:pos="-1560"/>
              </w:tabs>
              <w:rPr>
                <w:rFonts w:hint="eastAsia"/>
              </w:rPr>
            </w:pPr>
            <w:r>
              <w:rPr>
                <w:rStyle w:val="Liguvaikefont1"/>
                <w:sz w:val="22"/>
                <w:szCs w:val="22"/>
              </w:rPr>
              <w:t>Kuidas hindate abivajaja riiete otstarbekust ja mugavust?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5.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tabs>
                <w:tab w:val="left" w:pos="-1701"/>
                <w:tab w:val="left" w:pos="-1560"/>
              </w:tabs>
              <w:rPr>
                <w:rFonts w:hint="eastAsia"/>
              </w:rPr>
            </w:pPr>
            <w:r>
              <w:rPr>
                <w:rStyle w:val="Liguvaikefont1"/>
                <w:sz w:val="22"/>
                <w:szCs w:val="22"/>
              </w:rPr>
              <w:t>Kuidas juhendate ja abistate ning vajadusel teete hügieeni-ja ilutoiminguid?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6.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</w:rPr>
            </w:pPr>
            <w:r>
              <w:rPr>
                <w:rStyle w:val="Liguvaikefont1"/>
                <w:sz w:val="22"/>
                <w:szCs w:val="22"/>
              </w:rPr>
              <w:t>Kuidas juhendate ja toetate abivajaja seksuaalkäitumist?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7.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viite läbi hooldustoiminguid?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8.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hangite ravimeid?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9.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abistate õendustoimingute läbiviimisel?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10.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toetate ja juhendate  lähedasi surija hooldusel ja hooldate surijat.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</w:rPr>
            </w:pPr>
            <w:r>
              <w:rPr>
                <w:rStyle w:val="Liguvaikefont1"/>
                <w:b/>
                <w:sz w:val="22"/>
                <w:szCs w:val="22"/>
              </w:rPr>
              <w:t xml:space="preserve">Kompetents </w:t>
            </w:r>
            <w:r>
              <w:rPr>
                <w:rStyle w:val="Liguvaikefont1"/>
                <w:b/>
                <w:color w:val="000000"/>
                <w:sz w:val="22"/>
                <w:szCs w:val="22"/>
              </w:rPr>
              <w:t>MAJAPIDAMISTÖÖDE KORRALDAMINE</w:t>
            </w: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</w:rPr>
            </w:pPr>
            <w:r>
              <w:rPr>
                <w:rStyle w:val="Liguvaikefont1"/>
                <w:sz w:val="22"/>
                <w:szCs w:val="22"/>
              </w:rPr>
              <w:t>Kuidas osutate pesu- ja puhastusteenuseid?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korraldate majapidamises vajalikke töid?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</w:rPr>
            </w:pPr>
            <w:r>
              <w:rPr>
                <w:rStyle w:val="Liguvaikefont1"/>
                <w:b/>
                <w:sz w:val="22"/>
                <w:szCs w:val="22"/>
              </w:rPr>
              <w:t>Kompetents ESMAABI ANDMINE</w:t>
            </w: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määrate tervislikku seisundit?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annate esmaabi haigushoogude, õnnetusjuhtumite ja traumade korral?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3.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</w:rPr>
            </w:pPr>
            <w:r>
              <w:rPr>
                <w:rStyle w:val="Liguvaikefont1"/>
                <w:sz w:val="22"/>
                <w:szCs w:val="22"/>
              </w:rPr>
              <w:t>Kuidas käitute elustamisvajaduse korral?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</w:rPr>
            </w:pPr>
            <w:r>
              <w:rPr>
                <w:rStyle w:val="Liguvaikefont1"/>
                <w:b/>
                <w:sz w:val="22"/>
                <w:szCs w:val="22"/>
              </w:rPr>
              <w:t>Läbiv kompetents</w:t>
            </w: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Kirjeldage, kuidas suhtlete muukeelse abivajajaga?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rPr>
                <w:rStyle w:val="Liguvaikefont1"/>
                <w:sz w:val="22"/>
                <w:szCs w:val="22"/>
              </w:rPr>
              <w:t>Kirjeldage, millistel juhtudel kasutate oma töös arvutit ja internetti?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3.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Kirjeldage, millistele eetilistele põhimõtetele toetute oma töös?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lastRenderedPageBreak/>
              <w:t>4.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Kirjeldage, milline on töös teie vastutuse määr ja millal kutsute abi?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5.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rPr>
                <w:rStyle w:val="Liguvaikefont1"/>
                <w:sz w:val="22"/>
                <w:szCs w:val="22"/>
              </w:rPr>
              <w:t>Kirjeldage, millised valdkonnaga seotud õigusaktid mõjutavad Teie tööd?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6.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rPr>
                <w:rStyle w:val="Liguvaikefont1"/>
                <w:sz w:val="22"/>
                <w:szCs w:val="22"/>
              </w:rPr>
              <w:t>Milliseid isikukaitsevahendeid ja kuidas kasutate oma töös? Milliseid ohutusreegleid järgite oma töös?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7.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Kirjeldage, kuidas kasutate ergonoomilisi võtteid ja abivahendeid oma töös?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8.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Milliste põhimõtete alusel planeerite oma tööpäeva?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9.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rPr>
                <w:rStyle w:val="Liguvaikefont1"/>
                <w:sz w:val="22"/>
                <w:szCs w:val="22"/>
              </w:rPr>
              <w:t>Kirjeldage abivajaja probleemidega tegelemist ja abistamist suhtlemisel?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  <w:tr w:rsidR="00AA4CAC" w:rsidTr="0098160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t>10.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  <w:r>
              <w:rPr>
                <w:rStyle w:val="Liguvaikefont1"/>
                <w:sz w:val="22"/>
                <w:szCs w:val="22"/>
              </w:rPr>
              <w:t>Kirjeldage suhtlemisviise ja vorme, et saavutada usalduslik suhte abivajajatega ja nende lähedastega?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C" w:rsidRDefault="00AA4CAC" w:rsidP="00981607">
            <w:pPr>
              <w:pStyle w:val="TableContents"/>
              <w:rPr>
                <w:rFonts w:hint="eastAsia"/>
              </w:rPr>
            </w:pPr>
          </w:p>
        </w:tc>
      </w:tr>
    </w:tbl>
    <w:p w:rsidR="00C62D73" w:rsidRDefault="00C62D73" w:rsidP="00AA4CAC">
      <w:pPr>
        <w:pStyle w:val="Standard"/>
        <w:rPr>
          <w:rFonts w:hint="eastAsia"/>
        </w:rPr>
      </w:pPr>
    </w:p>
    <w:p w:rsidR="00C62D73" w:rsidRDefault="00C62D73" w:rsidP="00AA4CAC">
      <w:pPr>
        <w:pStyle w:val="Standard"/>
        <w:rPr>
          <w:rFonts w:hint="eastAsia"/>
        </w:rPr>
      </w:pPr>
    </w:p>
    <w:p w:rsidR="00C62D73" w:rsidRDefault="00C62D73" w:rsidP="00AA4CAC">
      <w:pPr>
        <w:pStyle w:val="Standard"/>
        <w:rPr>
          <w:rFonts w:hint="eastAsia"/>
          <w:b/>
        </w:rPr>
      </w:pPr>
      <w:r w:rsidRPr="00C62D73">
        <w:rPr>
          <w:b/>
        </w:rPr>
        <w:t>Taotleja allkiri...................................................</w:t>
      </w:r>
      <w:r>
        <w:rPr>
          <w:b/>
        </w:rPr>
        <w:t>....</w:t>
      </w:r>
    </w:p>
    <w:p w:rsidR="00C62D73" w:rsidRPr="00C62D73" w:rsidRDefault="00C62D73" w:rsidP="00AA4CAC">
      <w:pPr>
        <w:pStyle w:val="Standard"/>
        <w:rPr>
          <w:rFonts w:hint="eastAsia"/>
          <w:b/>
        </w:rPr>
      </w:pPr>
    </w:p>
    <w:p w:rsidR="00C62D73" w:rsidRPr="00C62D73" w:rsidRDefault="001865E0" w:rsidP="00AA4CAC">
      <w:pPr>
        <w:pStyle w:val="Standard"/>
        <w:rPr>
          <w:rFonts w:hint="eastAsia"/>
          <w:b/>
        </w:rPr>
      </w:pPr>
      <w:r>
        <w:rPr>
          <w:b/>
        </w:rPr>
        <w:t>Eneseanalüüsi täitmise</w:t>
      </w:r>
      <w:r w:rsidR="00C62D73" w:rsidRPr="00C62D73">
        <w:rPr>
          <w:b/>
        </w:rPr>
        <w:t xml:space="preserve"> kuupäev..........................</w:t>
      </w:r>
    </w:p>
    <w:p w:rsidR="00C641D4" w:rsidRDefault="00C641D4" w:rsidP="00AA4CAC">
      <w:pPr>
        <w:pStyle w:val="ListParagraph1"/>
        <w:tabs>
          <w:tab w:val="left" w:pos="0"/>
        </w:tabs>
        <w:ind w:left="0"/>
        <w:jc w:val="both"/>
        <w:rPr>
          <w:b/>
        </w:rPr>
      </w:pPr>
    </w:p>
    <w:p w:rsidR="00B3523E" w:rsidRDefault="00B3523E">
      <w:pPr>
        <w:rPr>
          <w:b/>
          <w:lang w:eastAsia="ar-SA"/>
        </w:rPr>
      </w:pPr>
      <w:r>
        <w:rPr>
          <w:b/>
        </w:rPr>
        <w:br w:type="page"/>
      </w:r>
    </w:p>
    <w:p w:rsidR="00AA4CAC" w:rsidRDefault="00AA4CAC" w:rsidP="00AA4CAC">
      <w:pPr>
        <w:pStyle w:val="ListParagraph1"/>
        <w:tabs>
          <w:tab w:val="left" w:pos="0"/>
        </w:tabs>
        <w:ind w:left="0"/>
        <w:jc w:val="both"/>
        <w:rPr>
          <w:b/>
        </w:rPr>
      </w:pPr>
      <w:r>
        <w:rPr>
          <w:b/>
        </w:rPr>
        <w:lastRenderedPageBreak/>
        <w:t>Hindamise teine etapp – vestlus.</w:t>
      </w:r>
    </w:p>
    <w:p w:rsidR="00AA4CAC" w:rsidRDefault="00AA4CAC" w:rsidP="00AA4CAC">
      <w:pPr>
        <w:pStyle w:val="ListParagraph1"/>
        <w:tabs>
          <w:tab w:val="left" w:pos="0"/>
        </w:tabs>
        <w:ind w:left="0"/>
        <w:jc w:val="both"/>
      </w:pPr>
      <w:r>
        <w:t>Vestluse eesmärgiks on välja selgitada kutsetaotleja tööks vajalike isiksuseomaduste avaldumine,  milleks on  empaatia- ja vastutusvõime, hoolivus, usaldusväärsus ja ausus. Hinnatakse hooldustöötaja suhtlemisoskust, kõlbelist hoiakut, väärtuste järgimist, pingetaluvust ja tolerantsust.</w:t>
      </w:r>
    </w:p>
    <w:p w:rsidR="00AA4CAC" w:rsidRDefault="00AA4CAC" w:rsidP="00AA4CAC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Vestluse viib läbi kolme liikmeline hindamiskomisjon. Hindamine viiakse läbi eesti keeles.</w:t>
      </w:r>
    </w:p>
    <w:p w:rsidR="00B3523E" w:rsidRDefault="00B3523E" w:rsidP="00AA4CAC">
      <w:pPr>
        <w:pStyle w:val="Standard"/>
        <w:tabs>
          <w:tab w:val="left" w:pos="0"/>
        </w:tabs>
        <w:jc w:val="both"/>
        <w:rPr>
          <w:rFonts w:hint="eastAsia"/>
          <w:sz w:val="22"/>
          <w:szCs w:val="22"/>
        </w:rPr>
      </w:pPr>
    </w:p>
    <w:p w:rsidR="00AA4CAC" w:rsidRDefault="00AA4CAC" w:rsidP="00AA4CAC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bookmarkStart w:id="3" w:name="_GoBack"/>
      <w:bookmarkEnd w:id="3"/>
      <w:r>
        <w:rPr>
          <w:b/>
          <w:sz w:val="22"/>
          <w:szCs w:val="22"/>
        </w:rPr>
        <w:t>ESTLUSE HINDAMISLEHT</w:t>
      </w:r>
    </w:p>
    <w:p w:rsidR="00AA4CAC" w:rsidRDefault="00AA4CAC" w:rsidP="00AA4C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Täidab vestluse ajal hindaja. </w:t>
      </w: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10660"/>
        <w:gridCol w:w="1417"/>
        <w:gridCol w:w="2127"/>
      </w:tblGrid>
      <w:tr w:rsidR="00AA4CAC" w:rsidTr="00981607">
        <w:trPr>
          <w:trHeight w:val="294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Hindamiskriteerium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Hinnang</w:t>
            </w:r>
          </w:p>
          <w:p w:rsidR="00AA4CAC" w:rsidRDefault="00AA4CAC" w:rsidP="00981607">
            <w:pPr>
              <w:jc w:val="center"/>
            </w:pPr>
            <w:r>
              <w:rPr>
                <w:b/>
                <w:sz w:val="22"/>
                <w:szCs w:val="22"/>
              </w:rPr>
              <w:t>Jah/Ei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jc w:val="center"/>
            </w:pPr>
            <w:r>
              <w:rPr>
                <w:b/>
                <w:sz w:val="22"/>
                <w:szCs w:val="22"/>
              </w:rPr>
              <w:t>Märkused</w:t>
            </w:r>
          </w:p>
        </w:tc>
      </w:tr>
      <w:tr w:rsidR="00AA4CAC" w:rsidTr="009816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r>
              <w:rPr>
                <w:sz w:val="22"/>
                <w:szCs w:val="22"/>
                <w:u w:val="single"/>
                <w:lang w:eastAsia="et-EE"/>
              </w:rPr>
              <w:t>Väärtussüsteem</w:t>
            </w:r>
            <w:r>
              <w:rPr>
                <w:sz w:val="22"/>
                <w:szCs w:val="22"/>
                <w:lang w:eastAsia="et-EE"/>
              </w:rPr>
              <w:t xml:space="preserve"> 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283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tahe tegeleda abivajaja probleemiga;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283"/>
            </w:pPr>
            <w:r>
              <w:rPr>
                <w:sz w:val="22"/>
                <w:szCs w:val="22"/>
              </w:rPr>
              <w:t>rakendab võrdsuse ja mitmekülgsuse põhimõtteid; austab abivajajaid, nende elukogemust, valikuid ja eelistusi; järgib väärtusi, millel põhineb kvaliteetne hooldus: väärikus, austus, privaatsus ja konfidentsiaalsus; töötab vastavalt eetilistele põhimõtetele;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283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kutse-eetika järgimine; 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283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religioossete- ja kultuuriliste tõekspidamiste järgimine;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283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hoolekandetöö õiguslikest alustest kinnipidamine;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283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inimsuhete arvestamine toimetulekul.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rPr>
                <w:sz w:val="22"/>
                <w:szCs w:val="22"/>
              </w:rPr>
            </w:pPr>
          </w:p>
        </w:tc>
      </w:tr>
      <w:tr w:rsidR="00AA4CAC" w:rsidTr="009816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r>
              <w:rPr>
                <w:sz w:val="22"/>
                <w:szCs w:val="22"/>
                <w:u w:val="single"/>
              </w:rPr>
              <w:t>Suhtlemisoskused</w:t>
            </w:r>
            <w:r>
              <w:rPr>
                <w:sz w:val="22"/>
                <w:szCs w:val="22"/>
              </w:rPr>
              <w:t xml:space="preserve"> 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283"/>
            </w:pPr>
            <w:r>
              <w:rPr>
                <w:sz w:val="22"/>
                <w:szCs w:val="22"/>
              </w:rPr>
              <w:t>aktiivne ja empaatiline kuulamine;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283"/>
            </w:pPr>
            <w:r>
              <w:rPr>
                <w:sz w:val="22"/>
                <w:szCs w:val="22"/>
              </w:rPr>
              <w:t>sobiva suhtlemisviisi kasutamine;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283"/>
            </w:pPr>
            <w:r>
              <w:rPr>
                <w:sz w:val="22"/>
                <w:szCs w:val="22"/>
              </w:rPr>
              <w:t>lugupidav suhtumine;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positiivne enesekehtestamine;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emotsionaalne stabiilsus.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rPr>
                <w:sz w:val="22"/>
                <w:szCs w:val="22"/>
              </w:rPr>
            </w:pPr>
          </w:p>
        </w:tc>
      </w:tr>
      <w:tr w:rsidR="00AA4CAC" w:rsidTr="009816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r>
              <w:rPr>
                <w:sz w:val="22"/>
                <w:szCs w:val="22"/>
                <w:u w:val="single"/>
              </w:rPr>
              <w:t>Abivajaja toetamine</w:t>
            </w:r>
            <w:r>
              <w:rPr>
                <w:sz w:val="22"/>
                <w:szCs w:val="22"/>
              </w:rPr>
              <w:t xml:space="preserve"> 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317"/>
            </w:pPr>
            <w:r>
              <w:rPr>
                <w:sz w:val="22"/>
                <w:szCs w:val="22"/>
              </w:rPr>
              <w:t>abivajaduse olemus erinevas eas, seisundis ja erivajadustega inimeste puhul;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317"/>
            </w:pPr>
            <w:r>
              <w:rPr>
                <w:sz w:val="22"/>
                <w:szCs w:val="22"/>
              </w:rPr>
              <w:t>abivajaja seisundi arvestamine ja positiivse lahenduse leidmine hooldusprotsessis;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317"/>
            </w:pPr>
            <w:r>
              <w:rPr>
                <w:sz w:val="22"/>
                <w:szCs w:val="22"/>
              </w:rPr>
              <w:t>abi- ja hooldusvahendite ning isikukaitsevahendite tundmine;</w:t>
            </w:r>
          </w:p>
          <w:p w:rsidR="00AA4CAC" w:rsidRDefault="00AA4CAC" w:rsidP="00AA4CAC">
            <w:pPr>
              <w:numPr>
                <w:ilvl w:val="0"/>
                <w:numId w:val="34"/>
              </w:numPr>
              <w:autoSpaceDN w:val="0"/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abivajajale õige abivahendi hankimine ja selle kasutamise juhendamine.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rPr>
                <w:sz w:val="22"/>
                <w:szCs w:val="22"/>
              </w:rPr>
            </w:pPr>
          </w:p>
        </w:tc>
      </w:tr>
      <w:tr w:rsidR="00AA4CAC" w:rsidTr="00981607"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AC" w:rsidRDefault="00AA4CAC" w:rsidP="00981607">
            <w:pPr>
              <w:rPr>
                <w:sz w:val="22"/>
                <w:szCs w:val="22"/>
              </w:rPr>
            </w:pPr>
          </w:p>
        </w:tc>
      </w:tr>
    </w:tbl>
    <w:p w:rsidR="00AA4CAC" w:rsidRDefault="00AA4CAC" w:rsidP="00AA4CAC">
      <w:pPr>
        <w:pStyle w:val="Standard"/>
        <w:tabs>
          <w:tab w:val="left" w:pos="0"/>
        </w:tabs>
        <w:jc w:val="both"/>
        <w:rPr>
          <w:rFonts w:hint="eastAsia"/>
          <w:sz w:val="22"/>
          <w:szCs w:val="22"/>
        </w:rPr>
      </w:pPr>
    </w:p>
    <w:p w:rsidR="00AA4CAC" w:rsidRDefault="00AA4CAC" w:rsidP="00AA4CAC">
      <w:pPr>
        <w:rPr>
          <w:sz w:val="22"/>
          <w:szCs w:val="22"/>
        </w:rPr>
      </w:pPr>
      <w:r>
        <w:rPr>
          <w:sz w:val="22"/>
          <w:szCs w:val="22"/>
        </w:rPr>
        <w:t>Hindaja:</w:t>
      </w:r>
      <w:r w:rsidR="00C641D4">
        <w:rPr>
          <w:sz w:val="22"/>
          <w:szCs w:val="22"/>
        </w:rPr>
        <w:t xml:space="preserve">.........................................................                                             </w:t>
      </w:r>
      <w:r>
        <w:rPr>
          <w:sz w:val="22"/>
          <w:szCs w:val="22"/>
        </w:rPr>
        <w:t>allkiri..........................</w:t>
      </w:r>
    </w:p>
    <w:p w:rsidR="00AA4CAC" w:rsidRDefault="00AA4CAC" w:rsidP="00AA4CAC">
      <w:pPr>
        <w:rPr>
          <w:sz w:val="22"/>
          <w:szCs w:val="22"/>
        </w:rPr>
      </w:pPr>
    </w:p>
    <w:p w:rsidR="00AA4CAC" w:rsidRDefault="00AA4CAC" w:rsidP="00AA4CAC">
      <w:pPr>
        <w:rPr>
          <w:sz w:val="22"/>
          <w:szCs w:val="22"/>
        </w:rPr>
      </w:pPr>
      <w:r>
        <w:rPr>
          <w:sz w:val="22"/>
          <w:szCs w:val="22"/>
        </w:rPr>
        <w:t>Hindaja :</w:t>
      </w:r>
      <w:r w:rsidR="00C641D4">
        <w:rPr>
          <w:sz w:val="22"/>
          <w:szCs w:val="22"/>
        </w:rPr>
        <w:t xml:space="preserve">........................................................                                              </w:t>
      </w:r>
      <w:r>
        <w:rPr>
          <w:sz w:val="22"/>
          <w:szCs w:val="22"/>
        </w:rPr>
        <w:t>allkiri..........................</w:t>
      </w:r>
    </w:p>
    <w:p w:rsidR="00AA4CAC" w:rsidRDefault="00AA4CAC" w:rsidP="00AA4CAC">
      <w:pPr>
        <w:rPr>
          <w:sz w:val="22"/>
          <w:szCs w:val="22"/>
        </w:rPr>
      </w:pPr>
    </w:p>
    <w:p w:rsidR="00196FB6" w:rsidRPr="00C641D4" w:rsidRDefault="00AA4CAC" w:rsidP="00196FB6">
      <w:pPr>
        <w:rPr>
          <w:sz w:val="22"/>
          <w:szCs w:val="22"/>
        </w:rPr>
      </w:pPr>
      <w:r>
        <w:rPr>
          <w:sz w:val="22"/>
          <w:szCs w:val="22"/>
        </w:rPr>
        <w:t>Hindaja:</w:t>
      </w:r>
      <w:r w:rsidR="00C641D4">
        <w:rPr>
          <w:sz w:val="22"/>
          <w:szCs w:val="22"/>
        </w:rPr>
        <w:t xml:space="preserve">..........................................................                                              </w:t>
      </w:r>
      <w:r>
        <w:rPr>
          <w:sz w:val="22"/>
          <w:szCs w:val="22"/>
        </w:rPr>
        <w:t>allkiri..........................</w:t>
      </w:r>
    </w:p>
    <w:sectPr w:rsidR="00196FB6" w:rsidRPr="00C641D4" w:rsidSect="00B3523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134" w:right="1418" w:bottom="851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4D" w:rsidRDefault="008F0B4D">
      <w:r>
        <w:separator/>
      </w:r>
    </w:p>
  </w:endnote>
  <w:endnote w:type="continuationSeparator" w:id="0">
    <w:p w:rsidR="008F0B4D" w:rsidRDefault="008F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AC" w:rsidRDefault="005C1534">
    <w:pPr>
      <w:pStyle w:val="Jalus"/>
      <w:jc w:val="right"/>
    </w:pPr>
    <w:r>
      <w:fldChar w:fldCharType="begin"/>
    </w:r>
    <w:r w:rsidR="006D1E7C">
      <w:instrText xml:space="preserve"> PAGE   \* MERGEFORMAT </w:instrText>
    </w:r>
    <w:r>
      <w:fldChar w:fldCharType="separate"/>
    </w:r>
    <w:r w:rsidR="00B3523E">
      <w:rPr>
        <w:noProof/>
      </w:rPr>
      <w:t>10</w:t>
    </w:r>
    <w:r>
      <w:rPr>
        <w:noProof/>
      </w:rPr>
      <w:fldChar w:fldCharType="end"/>
    </w:r>
  </w:p>
  <w:p w:rsidR="005324AC" w:rsidRDefault="005324A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4D" w:rsidRDefault="008F0B4D">
      <w:r>
        <w:separator/>
      </w:r>
    </w:p>
  </w:footnote>
  <w:footnote w:type="continuationSeparator" w:id="0">
    <w:p w:rsidR="008F0B4D" w:rsidRDefault="008F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AC" w:rsidRDefault="00013FCC">
    <w:pPr>
      <w:pStyle w:val="Pis"/>
    </w:pPr>
    <w:r>
      <w:rPr>
        <w:noProof/>
        <w:sz w:val="20"/>
        <w:lang w:eastAsia="et-EE"/>
      </w:rPr>
      <w:drawing>
        <wp:inline distT="0" distB="0" distL="0" distR="0">
          <wp:extent cx="1752600" cy="657225"/>
          <wp:effectExtent l="1905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AC" w:rsidRDefault="005324AC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AC" w:rsidRDefault="005324AC">
    <w:pPr>
      <w:pStyle w:val="Pi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AC" w:rsidRDefault="005324A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47"/>
      </v:shape>
    </w:pict>
  </w:numPicBullet>
  <w:abstractNum w:abstractNumId="0" w15:restartNumberingAfterBreak="0">
    <w:nsid w:val="03C833B3"/>
    <w:multiLevelType w:val="hybridMultilevel"/>
    <w:tmpl w:val="17D4A20C"/>
    <w:lvl w:ilvl="0" w:tplc="042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E2B2C"/>
    <w:multiLevelType w:val="multilevel"/>
    <w:tmpl w:val="623AB16E"/>
    <w:lvl w:ilvl="0">
      <w:start w:val="4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226421"/>
    <w:multiLevelType w:val="hybridMultilevel"/>
    <w:tmpl w:val="521C5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5CDF"/>
    <w:multiLevelType w:val="hybridMultilevel"/>
    <w:tmpl w:val="72B0456C"/>
    <w:lvl w:ilvl="0" w:tplc="76FAC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8460776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D5E35AE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D0DAA"/>
    <w:multiLevelType w:val="hybridMultilevel"/>
    <w:tmpl w:val="5A4A4EF6"/>
    <w:lvl w:ilvl="0" w:tplc="042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B3BC0"/>
    <w:multiLevelType w:val="multilevel"/>
    <w:tmpl w:val="2B0CFAE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2865DD"/>
    <w:multiLevelType w:val="multilevel"/>
    <w:tmpl w:val="35AEB61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A753A1"/>
    <w:multiLevelType w:val="hybridMultilevel"/>
    <w:tmpl w:val="0AB657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7011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64EC0A">
      <w:start w:val="7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43B44"/>
    <w:multiLevelType w:val="multilevel"/>
    <w:tmpl w:val="30E04E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7D32229"/>
    <w:multiLevelType w:val="hybridMultilevel"/>
    <w:tmpl w:val="B6940452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40478"/>
    <w:multiLevelType w:val="multilevel"/>
    <w:tmpl w:val="44C6E0B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254147"/>
    <w:multiLevelType w:val="hybridMultilevel"/>
    <w:tmpl w:val="866674A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30AA3"/>
    <w:multiLevelType w:val="hybridMultilevel"/>
    <w:tmpl w:val="A7CAA0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37D38"/>
    <w:multiLevelType w:val="multilevel"/>
    <w:tmpl w:val="26781CF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832E48"/>
    <w:multiLevelType w:val="multilevel"/>
    <w:tmpl w:val="72A488BC"/>
    <w:lvl w:ilvl="0">
      <w:start w:val="7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334A67C1"/>
    <w:multiLevelType w:val="multilevel"/>
    <w:tmpl w:val="4FCCCB04"/>
    <w:lvl w:ilvl="0">
      <w:start w:val="3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B95BE8"/>
    <w:multiLevelType w:val="hybridMultilevel"/>
    <w:tmpl w:val="B80EA622"/>
    <w:lvl w:ilvl="0" w:tplc="E244E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675F0F"/>
    <w:multiLevelType w:val="hybridMultilevel"/>
    <w:tmpl w:val="C2AA7ABC"/>
    <w:lvl w:ilvl="0" w:tplc="EFB21F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796F64"/>
    <w:multiLevelType w:val="hybridMultilevel"/>
    <w:tmpl w:val="28E09A6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763B0"/>
    <w:multiLevelType w:val="hybridMultilevel"/>
    <w:tmpl w:val="F4AE422C"/>
    <w:lvl w:ilvl="0" w:tplc="042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65F5A"/>
    <w:multiLevelType w:val="hybridMultilevel"/>
    <w:tmpl w:val="C73A9E8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B7BF8"/>
    <w:multiLevelType w:val="hybridMultilevel"/>
    <w:tmpl w:val="3E8E21D0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78175C"/>
    <w:multiLevelType w:val="multilevel"/>
    <w:tmpl w:val="8F60C45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2AB2178"/>
    <w:multiLevelType w:val="multilevel"/>
    <w:tmpl w:val="6C22A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7E0D06"/>
    <w:multiLevelType w:val="hybridMultilevel"/>
    <w:tmpl w:val="97A2C11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85EED"/>
    <w:multiLevelType w:val="hybridMultilevel"/>
    <w:tmpl w:val="D90A12A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A12A1"/>
    <w:multiLevelType w:val="hybridMultilevel"/>
    <w:tmpl w:val="7BC845FE"/>
    <w:lvl w:ilvl="0" w:tplc="D3AE6D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87836"/>
    <w:multiLevelType w:val="multilevel"/>
    <w:tmpl w:val="FE34BDEC"/>
    <w:lvl w:ilvl="0">
      <w:start w:val="3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0382023"/>
    <w:multiLevelType w:val="hybridMultilevel"/>
    <w:tmpl w:val="15B8840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103797"/>
    <w:multiLevelType w:val="hybridMultilevel"/>
    <w:tmpl w:val="0310FB8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11534"/>
    <w:multiLevelType w:val="multilevel"/>
    <w:tmpl w:val="5D5601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045ADE"/>
    <w:multiLevelType w:val="hybridMultilevel"/>
    <w:tmpl w:val="F992EAB8"/>
    <w:lvl w:ilvl="0" w:tplc="3CFA8DE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90859"/>
    <w:multiLevelType w:val="hybridMultilevel"/>
    <w:tmpl w:val="FE302B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B103E"/>
    <w:multiLevelType w:val="hybridMultilevel"/>
    <w:tmpl w:val="7B9225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6"/>
  </w:num>
  <w:num w:numId="4">
    <w:abstractNumId w:val="23"/>
  </w:num>
  <w:num w:numId="5">
    <w:abstractNumId w:val="5"/>
  </w:num>
  <w:num w:numId="6">
    <w:abstractNumId w:val="33"/>
  </w:num>
  <w:num w:numId="7">
    <w:abstractNumId w:val="28"/>
  </w:num>
  <w:num w:numId="8">
    <w:abstractNumId w:val="26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3"/>
  </w:num>
  <w:num w:numId="16">
    <w:abstractNumId w:val="24"/>
  </w:num>
  <w:num w:numId="17">
    <w:abstractNumId w:val="18"/>
  </w:num>
  <w:num w:numId="18">
    <w:abstractNumId w:val="25"/>
  </w:num>
  <w:num w:numId="19">
    <w:abstractNumId w:val="10"/>
  </w:num>
  <w:num w:numId="20">
    <w:abstractNumId w:val="14"/>
  </w:num>
  <w:num w:numId="21">
    <w:abstractNumId w:val="17"/>
  </w:num>
  <w:num w:numId="22">
    <w:abstractNumId w:val="15"/>
  </w:num>
  <w:num w:numId="23">
    <w:abstractNumId w:val="22"/>
  </w:num>
  <w:num w:numId="24">
    <w:abstractNumId w:val="27"/>
  </w:num>
  <w:num w:numId="25">
    <w:abstractNumId w:val="21"/>
  </w:num>
  <w:num w:numId="26">
    <w:abstractNumId w:val="4"/>
  </w:num>
  <w:num w:numId="27">
    <w:abstractNumId w:val="19"/>
  </w:num>
  <w:num w:numId="28">
    <w:abstractNumId w:val="31"/>
  </w:num>
  <w:num w:numId="29">
    <w:abstractNumId w:val="3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1"/>
  </w:num>
  <w:num w:numId="34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C"/>
    <w:rsid w:val="0000201A"/>
    <w:rsid w:val="00011686"/>
    <w:rsid w:val="00013FCC"/>
    <w:rsid w:val="000230B2"/>
    <w:rsid w:val="00027E91"/>
    <w:rsid w:val="000313DF"/>
    <w:rsid w:val="00042AD9"/>
    <w:rsid w:val="00042EC6"/>
    <w:rsid w:val="00044540"/>
    <w:rsid w:val="0004587C"/>
    <w:rsid w:val="000459A2"/>
    <w:rsid w:val="00056570"/>
    <w:rsid w:val="0005687C"/>
    <w:rsid w:val="00063119"/>
    <w:rsid w:val="00064B5A"/>
    <w:rsid w:val="00070F55"/>
    <w:rsid w:val="000814E3"/>
    <w:rsid w:val="00085674"/>
    <w:rsid w:val="000966BC"/>
    <w:rsid w:val="000A6396"/>
    <w:rsid w:val="000A6DBD"/>
    <w:rsid w:val="000B2E25"/>
    <w:rsid w:val="000B4B4B"/>
    <w:rsid w:val="000B50A2"/>
    <w:rsid w:val="000C0B37"/>
    <w:rsid w:val="000C1032"/>
    <w:rsid w:val="000C2BD2"/>
    <w:rsid w:val="000D614A"/>
    <w:rsid w:val="000E2482"/>
    <w:rsid w:val="000E4DA4"/>
    <w:rsid w:val="000F4757"/>
    <w:rsid w:val="000F655D"/>
    <w:rsid w:val="00107925"/>
    <w:rsid w:val="001110E9"/>
    <w:rsid w:val="00125DD8"/>
    <w:rsid w:val="001267AE"/>
    <w:rsid w:val="0014078A"/>
    <w:rsid w:val="001445E0"/>
    <w:rsid w:val="00147176"/>
    <w:rsid w:val="0014738A"/>
    <w:rsid w:val="00151282"/>
    <w:rsid w:val="00151C82"/>
    <w:rsid w:val="00153506"/>
    <w:rsid w:val="00167E27"/>
    <w:rsid w:val="001764DC"/>
    <w:rsid w:val="001865E0"/>
    <w:rsid w:val="00186D94"/>
    <w:rsid w:val="00192347"/>
    <w:rsid w:val="0019425D"/>
    <w:rsid w:val="00194C46"/>
    <w:rsid w:val="00196FB6"/>
    <w:rsid w:val="001B233A"/>
    <w:rsid w:val="001B5663"/>
    <w:rsid w:val="001B5A66"/>
    <w:rsid w:val="001B5AC2"/>
    <w:rsid w:val="001B5F87"/>
    <w:rsid w:val="001B6423"/>
    <w:rsid w:val="001C0318"/>
    <w:rsid w:val="001C3215"/>
    <w:rsid w:val="001C44D8"/>
    <w:rsid w:val="001D2004"/>
    <w:rsid w:val="001D5058"/>
    <w:rsid w:val="001E13F7"/>
    <w:rsid w:val="001E321C"/>
    <w:rsid w:val="001E5724"/>
    <w:rsid w:val="001E6610"/>
    <w:rsid w:val="001E7D0F"/>
    <w:rsid w:val="001F02F8"/>
    <w:rsid w:val="001F10F0"/>
    <w:rsid w:val="001F65DA"/>
    <w:rsid w:val="001F7A91"/>
    <w:rsid w:val="00206B51"/>
    <w:rsid w:val="00215216"/>
    <w:rsid w:val="00225620"/>
    <w:rsid w:val="00230244"/>
    <w:rsid w:val="002309EF"/>
    <w:rsid w:val="002324AD"/>
    <w:rsid w:val="00236272"/>
    <w:rsid w:val="00237323"/>
    <w:rsid w:val="00242723"/>
    <w:rsid w:val="0025004D"/>
    <w:rsid w:val="002516C2"/>
    <w:rsid w:val="00254509"/>
    <w:rsid w:val="00265458"/>
    <w:rsid w:val="002700A7"/>
    <w:rsid w:val="00272804"/>
    <w:rsid w:val="00297E9A"/>
    <w:rsid w:val="002A48CA"/>
    <w:rsid w:val="002A71F2"/>
    <w:rsid w:val="002B19D2"/>
    <w:rsid w:val="002B5663"/>
    <w:rsid w:val="002C1D50"/>
    <w:rsid w:val="002E230D"/>
    <w:rsid w:val="002E32C8"/>
    <w:rsid w:val="002E62B5"/>
    <w:rsid w:val="002F051D"/>
    <w:rsid w:val="002F0B06"/>
    <w:rsid w:val="002F186C"/>
    <w:rsid w:val="002F5BEB"/>
    <w:rsid w:val="0030105E"/>
    <w:rsid w:val="00302B27"/>
    <w:rsid w:val="003151F3"/>
    <w:rsid w:val="00320772"/>
    <w:rsid w:val="0032619F"/>
    <w:rsid w:val="003274FE"/>
    <w:rsid w:val="003473EF"/>
    <w:rsid w:val="00352117"/>
    <w:rsid w:val="00360864"/>
    <w:rsid w:val="003612D5"/>
    <w:rsid w:val="00361812"/>
    <w:rsid w:val="0036268C"/>
    <w:rsid w:val="003666F2"/>
    <w:rsid w:val="0037065F"/>
    <w:rsid w:val="003726E8"/>
    <w:rsid w:val="00377768"/>
    <w:rsid w:val="0038777E"/>
    <w:rsid w:val="003903C5"/>
    <w:rsid w:val="00393671"/>
    <w:rsid w:val="003B549A"/>
    <w:rsid w:val="003B54A3"/>
    <w:rsid w:val="003B7C7F"/>
    <w:rsid w:val="003C06DF"/>
    <w:rsid w:val="003C0C86"/>
    <w:rsid w:val="003C11DE"/>
    <w:rsid w:val="003C1FBF"/>
    <w:rsid w:val="003C5A5D"/>
    <w:rsid w:val="003D33F1"/>
    <w:rsid w:val="003D4CA0"/>
    <w:rsid w:val="003D7FD1"/>
    <w:rsid w:val="003E13DB"/>
    <w:rsid w:val="00400FF7"/>
    <w:rsid w:val="004038E4"/>
    <w:rsid w:val="004114B4"/>
    <w:rsid w:val="004142F3"/>
    <w:rsid w:val="0043541C"/>
    <w:rsid w:val="004471BB"/>
    <w:rsid w:val="00452A66"/>
    <w:rsid w:val="00454811"/>
    <w:rsid w:val="0045627C"/>
    <w:rsid w:val="00471058"/>
    <w:rsid w:val="00476C33"/>
    <w:rsid w:val="00485586"/>
    <w:rsid w:val="00486AEB"/>
    <w:rsid w:val="004912CC"/>
    <w:rsid w:val="00492074"/>
    <w:rsid w:val="004946B0"/>
    <w:rsid w:val="004A1F2D"/>
    <w:rsid w:val="004A2F95"/>
    <w:rsid w:val="004B067B"/>
    <w:rsid w:val="004B34C7"/>
    <w:rsid w:val="004B465D"/>
    <w:rsid w:val="004C0388"/>
    <w:rsid w:val="004C0AFD"/>
    <w:rsid w:val="004C1B40"/>
    <w:rsid w:val="004C28CB"/>
    <w:rsid w:val="004C2E72"/>
    <w:rsid w:val="004D03A7"/>
    <w:rsid w:val="004E35E5"/>
    <w:rsid w:val="004E5CE3"/>
    <w:rsid w:val="004F47C9"/>
    <w:rsid w:val="004F50FC"/>
    <w:rsid w:val="00502195"/>
    <w:rsid w:val="00503CB4"/>
    <w:rsid w:val="0051318B"/>
    <w:rsid w:val="00514303"/>
    <w:rsid w:val="00521EC7"/>
    <w:rsid w:val="00527FE0"/>
    <w:rsid w:val="005324AC"/>
    <w:rsid w:val="0053609C"/>
    <w:rsid w:val="00551B43"/>
    <w:rsid w:val="00555E6F"/>
    <w:rsid w:val="00557A9C"/>
    <w:rsid w:val="005640A0"/>
    <w:rsid w:val="00566AC4"/>
    <w:rsid w:val="005753C8"/>
    <w:rsid w:val="00590ED8"/>
    <w:rsid w:val="00592CD2"/>
    <w:rsid w:val="0059344A"/>
    <w:rsid w:val="005B2BAF"/>
    <w:rsid w:val="005C0E3B"/>
    <w:rsid w:val="005C1534"/>
    <w:rsid w:val="005C1804"/>
    <w:rsid w:val="005C348C"/>
    <w:rsid w:val="005D62F6"/>
    <w:rsid w:val="005F4D69"/>
    <w:rsid w:val="005F7EC3"/>
    <w:rsid w:val="00602A3A"/>
    <w:rsid w:val="00607868"/>
    <w:rsid w:val="006133A6"/>
    <w:rsid w:val="00616711"/>
    <w:rsid w:val="00621110"/>
    <w:rsid w:val="0062695D"/>
    <w:rsid w:val="006276A7"/>
    <w:rsid w:val="00647FF9"/>
    <w:rsid w:val="006513CA"/>
    <w:rsid w:val="00652FC9"/>
    <w:rsid w:val="0065365C"/>
    <w:rsid w:val="00657177"/>
    <w:rsid w:val="006604E4"/>
    <w:rsid w:val="00661759"/>
    <w:rsid w:val="00663C81"/>
    <w:rsid w:val="006718A7"/>
    <w:rsid w:val="00675759"/>
    <w:rsid w:val="00681CF1"/>
    <w:rsid w:val="0068396E"/>
    <w:rsid w:val="00691193"/>
    <w:rsid w:val="006940BA"/>
    <w:rsid w:val="0069754B"/>
    <w:rsid w:val="006A039B"/>
    <w:rsid w:val="006A1459"/>
    <w:rsid w:val="006A45E3"/>
    <w:rsid w:val="006B615A"/>
    <w:rsid w:val="006C0A06"/>
    <w:rsid w:val="006C14C3"/>
    <w:rsid w:val="006C22FB"/>
    <w:rsid w:val="006C33DB"/>
    <w:rsid w:val="006C5193"/>
    <w:rsid w:val="006D1E7C"/>
    <w:rsid w:val="0072491D"/>
    <w:rsid w:val="0073708A"/>
    <w:rsid w:val="007375D8"/>
    <w:rsid w:val="00740464"/>
    <w:rsid w:val="007441AC"/>
    <w:rsid w:val="00761B18"/>
    <w:rsid w:val="00764D02"/>
    <w:rsid w:val="00767ACD"/>
    <w:rsid w:val="00773BA3"/>
    <w:rsid w:val="00776A88"/>
    <w:rsid w:val="00784022"/>
    <w:rsid w:val="007875F0"/>
    <w:rsid w:val="0079385D"/>
    <w:rsid w:val="00797C89"/>
    <w:rsid w:val="007A0A69"/>
    <w:rsid w:val="007A5CF3"/>
    <w:rsid w:val="007A7CBB"/>
    <w:rsid w:val="007B2648"/>
    <w:rsid w:val="007C2B06"/>
    <w:rsid w:val="007C2DC7"/>
    <w:rsid w:val="007D2815"/>
    <w:rsid w:val="007D404B"/>
    <w:rsid w:val="007D5DA5"/>
    <w:rsid w:val="007E122C"/>
    <w:rsid w:val="007E1A31"/>
    <w:rsid w:val="007E234D"/>
    <w:rsid w:val="007E3884"/>
    <w:rsid w:val="007E3AA0"/>
    <w:rsid w:val="007E41AF"/>
    <w:rsid w:val="007F1384"/>
    <w:rsid w:val="007F2695"/>
    <w:rsid w:val="00804395"/>
    <w:rsid w:val="00807772"/>
    <w:rsid w:val="00820E91"/>
    <w:rsid w:val="008224B2"/>
    <w:rsid w:val="00837C38"/>
    <w:rsid w:val="00844775"/>
    <w:rsid w:val="00857A9C"/>
    <w:rsid w:val="00860F86"/>
    <w:rsid w:val="0087029F"/>
    <w:rsid w:val="008727E9"/>
    <w:rsid w:val="008826D4"/>
    <w:rsid w:val="00892CAA"/>
    <w:rsid w:val="00896140"/>
    <w:rsid w:val="008A4905"/>
    <w:rsid w:val="008B2721"/>
    <w:rsid w:val="008B3E59"/>
    <w:rsid w:val="008B5689"/>
    <w:rsid w:val="008B7AE3"/>
    <w:rsid w:val="008C6478"/>
    <w:rsid w:val="008D266B"/>
    <w:rsid w:val="008D5A4F"/>
    <w:rsid w:val="008D779B"/>
    <w:rsid w:val="008E1FE1"/>
    <w:rsid w:val="008F0B4D"/>
    <w:rsid w:val="008F3BBE"/>
    <w:rsid w:val="00900A79"/>
    <w:rsid w:val="00901EEF"/>
    <w:rsid w:val="0090272A"/>
    <w:rsid w:val="00903DFF"/>
    <w:rsid w:val="00906580"/>
    <w:rsid w:val="00914853"/>
    <w:rsid w:val="009148D3"/>
    <w:rsid w:val="00923004"/>
    <w:rsid w:val="00925DA8"/>
    <w:rsid w:val="00930256"/>
    <w:rsid w:val="009307FC"/>
    <w:rsid w:val="0093306C"/>
    <w:rsid w:val="00945E51"/>
    <w:rsid w:val="00947487"/>
    <w:rsid w:val="00960C38"/>
    <w:rsid w:val="009704C7"/>
    <w:rsid w:val="00970A08"/>
    <w:rsid w:val="00970A49"/>
    <w:rsid w:val="00972942"/>
    <w:rsid w:val="00974520"/>
    <w:rsid w:val="00984697"/>
    <w:rsid w:val="0098537E"/>
    <w:rsid w:val="00993D38"/>
    <w:rsid w:val="00997C3C"/>
    <w:rsid w:val="009A1F1F"/>
    <w:rsid w:val="009A3A90"/>
    <w:rsid w:val="009A41DD"/>
    <w:rsid w:val="009A65AF"/>
    <w:rsid w:val="009B20C2"/>
    <w:rsid w:val="009B23A0"/>
    <w:rsid w:val="009B2756"/>
    <w:rsid w:val="009B4B3B"/>
    <w:rsid w:val="009D0101"/>
    <w:rsid w:val="009D3D19"/>
    <w:rsid w:val="009D64E3"/>
    <w:rsid w:val="009F07F2"/>
    <w:rsid w:val="009F4266"/>
    <w:rsid w:val="00A02523"/>
    <w:rsid w:val="00A026D7"/>
    <w:rsid w:val="00A06104"/>
    <w:rsid w:val="00A138C5"/>
    <w:rsid w:val="00A15EBE"/>
    <w:rsid w:val="00A211A1"/>
    <w:rsid w:val="00A26107"/>
    <w:rsid w:val="00A2680D"/>
    <w:rsid w:val="00A3115F"/>
    <w:rsid w:val="00A350FF"/>
    <w:rsid w:val="00A431A6"/>
    <w:rsid w:val="00A451DF"/>
    <w:rsid w:val="00A530CA"/>
    <w:rsid w:val="00A5543C"/>
    <w:rsid w:val="00A56E14"/>
    <w:rsid w:val="00A60438"/>
    <w:rsid w:val="00A658FC"/>
    <w:rsid w:val="00A67345"/>
    <w:rsid w:val="00A676DD"/>
    <w:rsid w:val="00A70193"/>
    <w:rsid w:val="00A76CB5"/>
    <w:rsid w:val="00A7789E"/>
    <w:rsid w:val="00A833DF"/>
    <w:rsid w:val="00A8570C"/>
    <w:rsid w:val="00A872FD"/>
    <w:rsid w:val="00A902CB"/>
    <w:rsid w:val="00A97D09"/>
    <w:rsid w:val="00AA35B4"/>
    <w:rsid w:val="00AA4CAC"/>
    <w:rsid w:val="00AC0479"/>
    <w:rsid w:val="00AC109D"/>
    <w:rsid w:val="00AC1CF5"/>
    <w:rsid w:val="00AC2297"/>
    <w:rsid w:val="00AC2A24"/>
    <w:rsid w:val="00AC55FC"/>
    <w:rsid w:val="00AC63CC"/>
    <w:rsid w:val="00AD73C8"/>
    <w:rsid w:val="00AD77FD"/>
    <w:rsid w:val="00AE718C"/>
    <w:rsid w:val="00AF0447"/>
    <w:rsid w:val="00B00815"/>
    <w:rsid w:val="00B02A2B"/>
    <w:rsid w:val="00B115DE"/>
    <w:rsid w:val="00B1437D"/>
    <w:rsid w:val="00B21FD3"/>
    <w:rsid w:val="00B30730"/>
    <w:rsid w:val="00B30CB9"/>
    <w:rsid w:val="00B318A7"/>
    <w:rsid w:val="00B31B7D"/>
    <w:rsid w:val="00B3491A"/>
    <w:rsid w:val="00B3523E"/>
    <w:rsid w:val="00B3682C"/>
    <w:rsid w:val="00B4253E"/>
    <w:rsid w:val="00B44E95"/>
    <w:rsid w:val="00B46F44"/>
    <w:rsid w:val="00B559D0"/>
    <w:rsid w:val="00B637C0"/>
    <w:rsid w:val="00B63E2D"/>
    <w:rsid w:val="00B66AD5"/>
    <w:rsid w:val="00B7636E"/>
    <w:rsid w:val="00B848A8"/>
    <w:rsid w:val="00B93C3C"/>
    <w:rsid w:val="00B96F6B"/>
    <w:rsid w:val="00BA40B0"/>
    <w:rsid w:val="00BA4675"/>
    <w:rsid w:val="00BB666E"/>
    <w:rsid w:val="00BB71DD"/>
    <w:rsid w:val="00BC0783"/>
    <w:rsid w:val="00BC6B36"/>
    <w:rsid w:val="00BD31B6"/>
    <w:rsid w:val="00BD5A61"/>
    <w:rsid w:val="00BD6EA3"/>
    <w:rsid w:val="00BE37AF"/>
    <w:rsid w:val="00BF419E"/>
    <w:rsid w:val="00BF672C"/>
    <w:rsid w:val="00C101C7"/>
    <w:rsid w:val="00C138F2"/>
    <w:rsid w:val="00C214D9"/>
    <w:rsid w:val="00C2600C"/>
    <w:rsid w:val="00C27B9A"/>
    <w:rsid w:val="00C3369E"/>
    <w:rsid w:val="00C33D1C"/>
    <w:rsid w:val="00C35784"/>
    <w:rsid w:val="00C36C33"/>
    <w:rsid w:val="00C4329B"/>
    <w:rsid w:val="00C45338"/>
    <w:rsid w:val="00C52F16"/>
    <w:rsid w:val="00C554A2"/>
    <w:rsid w:val="00C62300"/>
    <w:rsid w:val="00C62D73"/>
    <w:rsid w:val="00C637B1"/>
    <w:rsid w:val="00C641D4"/>
    <w:rsid w:val="00C64A58"/>
    <w:rsid w:val="00C65548"/>
    <w:rsid w:val="00C71358"/>
    <w:rsid w:val="00C71559"/>
    <w:rsid w:val="00C75E59"/>
    <w:rsid w:val="00C77C34"/>
    <w:rsid w:val="00C83551"/>
    <w:rsid w:val="00C86999"/>
    <w:rsid w:val="00C86BA5"/>
    <w:rsid w:val="00C92195"/>
    <w:rsid w:val="00CA4223"/>
    <w:rsid w:val="00CA590C"/>
    <w:rsid w:val="00CA6A8D"/>
    <w:rsid w:val="00CB0AF2"/>
    <w:rsid w:val="00CB10C9"/>
    <w:rsid w:val="00CB236D"/>
    <w:rsid w:val="00CB5F21"/>
    <w:rsid w:val="00CB6CAE"/>
    <w:rsid w:val="00CC1E8E"/>
    <w:rsid w:val="00CC31D0"/>
    <w:rsid w:val="00CC4230"/>
    <w:rsid w:val="00CC510C"/>
    <w:rsid w:val="00CD1A60"/>
    <w:rsid w:val="00CD38BA"/>
    <w:rsid w:val="00CE3944"/>
    <w:rsid w:val="00CE4CA9"/>
    <w:rsid w:val="00CF0C61"/>
    <w:rsid w:val="00D308E3"/>
    <w:rsid w:val="00D33A5A"/>
    <w:rsid w:val="00D34497"/>
    <w:rsid w:val="00D40950"/>
    <w:rsid w:val="00D41A41"/>
    <w:rsid w:val="00D51086"/>
    <w:rsid w:val="00D545B2"/>
    <w:rsid w:val="00D771DC"/>
    <w:rsid w:val="00D9061E"/>
    <w:rsid w:val="00D911E4"/>
    <w:rsid w:val="00D9626B"/>
    <w:rsid w:val="00DB558E"/>
    <w:rsid w:val="00DB78DF"/>
    <w:rsid w:val="00DC0AD8"/>
    <w:rsid w:val="00DC434D"/>
    <w:rsid w:val="00DD3D95"/>
    <w:rsid w:val="00DD56BB"/>
    <w:rsid w:val="00DE5216"/>
    <w:rsid w:val="00DF6058"/>
    <w:rsid w:val="00DF6581"/>
    <w:rsid w:val="00E01C31"/>
    <w:rsid w:val="00E02446"/>
    <w:rsid w:val="00E02C23"/>
    <w:rsid w:val="00E02D32"/>
    <w:rsid w:val="00E07B50"/>
    <w:rsid w:val="00E12F17"/>
    <w:rsid w:val="00E16876"/>
    <w:rsid w:val="00E17C54"/>
    <w:rsid w:val="00E210DC"/>
    <w:rsid w:val="00E230E5"/>
    <w:rsid w:val="00E27151"/>
    <w:rsid w:val="00E35D64"/>
    <w:rsid w:val="00E430B5"/>
    <w:rsid w:val="00E442AC"/>
    <w:rsid w:val="00E445AA"/>
    <w:rsid w:val="00E46225"/>
    <w:rsid w:val="00E526D8"/>
    <w:rsid w:val="00E5386D"/>
    <w:rsid w:val="00E60E24"/>
    <w:rsid w:val="00E6395A"/>
    <w:rsid w:val="00E664BB"/>
    <w:rsid w:val="00E67114"/>
    <w:rsid w:val="00E7184F"/>
    <w:rsid w:val="00E74EF3"/>
    <w:rsid w:val="00E76EA9"/>
    <w:rsid w:val="00E81B9F"/>
    <w:rsid w:val="00E93F6F"/>
    <w:rsid w:val="00E966A6"/>
    <w:rsid w:val="00EA28C6"/>
    <w:rsid w:val="00EB12C8"/>
    <w:rsid w:val="00EB4C35"/>
    <w:rsid w:val="00EB6A1D"/>
    <w:rsid w:val="00EC7DBA"/>
    <w:rsid w:val="00ED1446"/>
    <w:rsid w:val="00ED3C4F"/>
    <w:rsid w:val="00ED59EF"/>
    <w:rsid w:val="00ED62FD"/>
    <w:rsid w:val="00ED6C23"/>
    <w:rsid w:val="00EE0D9B"/>
    <w:rsid w:val="00EF0CCB"/>
    <w:rsid w:val="00EF4FE5"/>
    <w:rsid w:val="00F007E4"/>
    <w:rsid w:val="00F07CF1"/>
    <w:rsid w:val="00F1137E"/>
    <w:rsid w:val="00F14FD1"/>
    <w:rsid w:val="00F25A0B"/>
    <w:rsid w:val="00F325BE"/>
    <w:rsid w:val="00F3338D"/>
    <w:rsid w:val="00F35FA1"/>
    <w:rsid w:val="00F40496"/>
    <w:rsid w:val="00F445EB"/>
    <w:rsid w:val="00F500C1"/>
    <w:rsid w:val="00F6659F"/>
    <w:rsid w:val="00F67D44"/>
    <w:rsid w:val="00F73057"/>
    <w:rsid w:val="00F77A07"/>
    <w:rsid w:val="00F81F58"/>
    <w:rsid w:val="00F82784"/>
    <w:rsid w:val="00F87BE1"/>
    <w:rsid w:val="00F93CFA"/>
    <w:rsid w:val="00F94DEF"/>
    <w:rsid w:val="00FA448A"/>
    <w:rsid w:val="00FA70AA"/>
    <w:rsid w:val="00FB07D7"/>
    <w:rsid w:val="00FB0893"/>
    <w:rsid w:val="00FC1CE2"/>
    <w:rsid w:val="00FC32D1"/>
    <w:rsid w:val="00FD295E"/>
    <w:rsid w:val="00FE13FD"/>
    <w:rsid w:val="00FE293B"/>
    <w:rsid w:val="00FF0CFC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6EDB731-C99D-4C7C-914C-A9FBA4A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7184F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E7184F"/>
    <w:pPr>
      <w:keepNext/>
      <w:ind w:right="904"/>
      <w:jc w:val="both"/>
      <w:outlineLvl w:val="0"/>
    </w:pPr>
    <w:rPr>
      <w:rFonts w:ascii="Arial" w:hAnsi="Arial" w:cs="Arial"/>
      <w:b/>
      <w:bCs/>
    </w:rPr>
  </w:style>
  <w:style w:type="paragraph" w:styleId="Pealkiri2">
    <w:name w:val="heading 2"/>
    <w:basedOn w:val="Normaallaad"/>
    <w:next w:val="Normaallaad"/>
    <w:qFormat/>
    <w:rsid w:val="00E7184F"/>
    <w:pPr>
      <w:keepNext/>
      <w:ind w:left="525" w:right="904"/>
      <w:jc w:val="both"/>
      <w:outlineLvl w:val="1"/>
    </w:pPr>
    <w:rPr>
      <w:rFonts w:ascii="Arial" w:hAnsi="Arial" w:cs="Arial"/>
      <w:b/>
      <w:bCs/>
    </w:rPr>
  </w:style>
  <w:style w:type="paragraph" w:styleId="Pealkiri3">
    <w:name w:val="heading 3"/>
    <w:basedOn w:val="Normaallaad"/>
    <w:next w:val="Normaallaad"/>
    <w:qFormat/>
    <w:rsid w:val="00E7184F"/>
    <w:pPr>
      <w:keepNext/>
      <w:ind w:right="904"/>
      <w:jc w:val="center"/>
      <w:outlineLvl w:val="2"/>
    </w:pPr>
    <w:rPr>
      <w:rFonts w:ascii="Arial" w:hAnsi="Arial" w:cs="Arial"/>
      <w:b/>
      <w:bCs/>
    </w:rPr>
  </w:style>
  <w:style w:type="paragraph" w:styleId="Pealkiri4">
    <w:name w:val="heading 4"/>
    <w:basedOn w:val="Normaallaad"/>
    <w:next w:val="Normaallaad"/>
    <w:qFormat/>
    <w:rsid w:val="00E7184F"/>
    <w:pPr>
      <w:keepNext/>
      <w:ind w:left="525" w:right="904"/>
      <w:jc w:val="center"/>
      <w:outlineLvl w:val="3"/>
    </w:pPr>
    <w:rPr>
      <w:rFonts w:ascii="Arial" w:hAnsi="Arial" w:cs="Arial"/>
      <w:b/>
      <w:bCs/>
    </w:rPr>
  </w:style>
  <w:style w:type="paragraph" w:styleId="Pealkiri5">
    <w:name w:val="heading 5"/>
    <w:basedOn w:val="Normaallaad"/>
    <w:next w:val="Normaallaad"/>
    <w:qFormat/>
    <w:rsid w:val="00E7184F"/>
    <w:pPr>
      <w:keepNext/>
      <w:ind w:left="450"/>
      <w:jc w:val="center"/>
      <w:outlineLvl w:val="4"/>
    </w:pPr>
    <w:rPr>
      <w:rFonts w:ascii="Arial" w:hAnsi="Arial" w:cs="Arial"/>
      <w:b/>
      <w:bCs/>
    </w:rPr>
  </w:style>
  <w:style w:type="paragraph" w:styleId="Pealkiri6">
    <w:name w:val="heading 6"/>
    <w:basedOn w:val="Normaallaad"/>
    <w:next w:val="Normaallaad"/>
    <w:qFormat/>
    <w:rsid w:val="00E7184F"/>
    <w:pPr>
      <w:keepNext/>
      <w:ind w:left="390"/>
      <w:jc w:val="center"/>
      <w:outlineLvl w:val="5"/>
    </w:pPr>
    <w:rPr>
      <w:rFonts w:ascii="Arial" w:hAnsi="Arial" w:cs="Arial"/>
      <w:b/>
      <w:bCs/>
    </w:rPr>
  </w:style>
  <w:style w:type="paragraph" w:styleId="Pealkiri7">
    <w:name w:val="heading 7"/>
    <w:basedOn w:val="Normaallaad"/>
    <w:next w:val="Normaallaad"/>
    <w:qFormat/>
    <w:rsid w:val="00E7184F"/>
    <w:pPr>
      <w:keepNext/>
      <w:ind w:left="360"/>
      <w:jc w:val="center"/>
      <w:outlineLvl w:val="6"/>
    </w:pPr>
    <w:rPr>
      <w:rFonts w:ascii="Arial" w:hAnsi="Arial" w:cs="Arial"/>
      <w:b/>
      <w:bCs/>
    </w:rPr>
  </w:style>
  <w:style w:type="paragraph" w:styleId="Pealkiri8">
    <w:name w:val="heading 8"/>
    <w:basedOn w:val="Normaallaad"/>
    <w:next w:val="Normaallaad"/>
    <w:qFormat/>
    <w:rsid w:val="00E7184F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Pealkiri9">
    <w:name w:val="heading 9"/>
    <w:basedOn w:val="Normaallaad"/>
    <w:next w:val="Normaallaad"/>
    <w:qFormat/>
    <w:rsid w:val="00E7184F"/>
    <w:pPr>
      <w:keepNext/>
      <w:ind w:left="465"/>
      <w:jc w:val="center"/>
      <w:outlineLvl w:val="8"/>
    </w:pPr>
    <w:rPr>
      <w:rFonts w:ascii="Arial" w:hAnsi="Arial" w:cs="Arial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E7184F"/>
    <w:pPr>
      <w:ind w:right="904"/>
      <w:jc w:val="both"/>
    </w:pPr>
    <w:rPr>
      <w:rFonts w:ascii="Arial" w:hAnsi="Arial" w:cs="Arial"/>
    </w:rPr>
  </w:style>
  <w:style w:type="paragraph" w:styleId="Kehatekst2">
    <w:name w:val="Body Text 2"/>
    <w:basedOn w:val="Normaallaad"/>
    <w:rsid w:val="00E7184F"/>
    <w:pPr>
      <w:ind w:right="904"/>
      <w:jc w:val="both"/>
    </w:pPr>
    <w:rPr>
      <w:rFonts w:ascii="Arial" w:hAnsi="Arial" w:cs="Arial"/>
      <w:b/>
      <w:bCs/>
    </w:rPr>
  </w:style>
  <w:style w:type="paragraph" w:styleId="Plokktekst">
    <w:name w:val="Block Text"/>
    <w:basedOn w:val="Normaallaad"/>
    <w:rsid w:val="00E7184F"/>
    <w:pPr>
      <w:ind w:left="480" w:right="904" w:hanging="480"/>
      <w:jc w:val="both"/>
    </w:pPr>
    <w:rPr>
      <w:rFonts w:ascii="Arial" w:hAnsi="Arial" w:cs="Arial"/>
    </w:rPr>
  </w:style>
  <w:style w:type="paragraph" w:styleId="Kehatekst3">
    <w:name w:val="Body Text 3"/>
    <w:basedOn w:val="Normaallaad"/>
    <w:rsid w:val="00E7184F"/>
    <w:rPr>
      <w:b/>
      <w:bCs/>
    </w:rPr>
  </w:style>
  <w:style w:type="paragraph" w:styleId="Taandegakehatekst">
    <w:name w:val="Body Text Indent"/>
    <w:basedOn w:val="Normaallaad"/>
    <w:rsid w:val="00E7184F"/>
    <w:pPr>
      <w:ind w:left="1440" w:hanging="720"/>
    </w:pPr>
    <w:rPr>
      <w:b/>
      <w:bCs/>
    </w:rPr>
  </w:style>
  <w:style w:type="paragraph" w:styleId="Dokumendiplaan">
    <w:name w:val="Document Map"/>
    <w:basedOn w:val="Normaallaad"/>
    <w:semiHidden/>
    <w:rsid w:val="00E7184F"/>
    <w:pPr>
      <w:shd w:val="clear" w:color="auto" w:fill="000080"/>
    </w:pPr>
    <w:rPr>
      <w:rFonts w:ascii="Tahoma" w:hAnsi="Tahoma" w:cs="Tahoma"/>
    </w:rPr>
  </w:style>
  <w:style w:type="paragraph" w:styleId="Pis">
    <w:name w:val="header"/>
    <w:basedOn w:val="Normaallaad"/>
    <w:link w:val="PisMrk"/>
    <w:rsid w:val="00970A49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uiPriority w:val="99"/>
    <w:rsid w:val="00970A49"/>
    <w:pPr>
      <w:tabs>
        <w:tab w:val="center" w:pos="4536"/>
        <w:tab w:val="right" w:pos="9072"/>
      </w:tabs>
    </w:pPr>
  </w:style>
  <w:style w:type="character" w:styleId="Kommentaariviide">
    <w:name w:val="annotation reference"/>
    <w:semiHidden/>
    <w:rsid w:val="00F1137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F1137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F1137E"/>
    <w:rPr>
      <w:b/>
      <w:bCs/>
    </w:rPr>
  </w:style>
  <w:style w:type="paragraph" w:styleId="Jutumullitekst">
    <w:name w:val="Balloon Text"/>
    <w:basedOn w:val="Normaallaad"/>
    <w:semiHidden/>
    <w:rsid w:val="00F1137E"/>
    <w:rPr>
      <w:rFonts w:ascii="Tahoma" w:hAnsi="Tahoma" w:cs="Tahoma"/>
      <w:sz w:val="16"/>
      <w:szCs w:val="16"/>
    </w:rPr>
  </w:style>
  <w:style w:type="character" w:customStyle="1" w:styleId="JalusMrk">
    <w:name w:val="Jalus Märk"/>
    <w:link w:val="Jalus"/>
    <w:uiPriority w:val="99"/>
    <w:rsid w:val="00A211A1"/>
    <w:rPr>
      <w:sz w:val="24"/>
      <w:szCs w:val="24"/>
      <w:lang w:val="et-EE"/>
    </w:rPr>
  </w:style>
  <w:style w:type="character" w:styleId="Hperlink">
    <w:name w:val="Hyperlink"/>
    <w:rsid w:val="007A7CBB"/>
    <w:rPr>
      <w:color w:val="0000FF"/>
      <w:u w:val="single"/>
    </w:rPr>
  </w:style>
  <w:style w:type="paragraph" w:customStyle="1" w:styleId="ListParagraph1">
    <w:name w:val="List Paragraph1"/>
    <w:basedOn w:val="Normaallaad"/>
    <w:qFormat/>
    <w:rsid w:val="00147176"/>
    <w:pPr>
      <w:suppressAutoHyphens/>
      <w:ind w:left="720"/>
      <w:contextualSpacing/>
    </w:pPr>
    <w:rPr>
      <w:lang w:eastAsia="ar-SA"/>
    </w:rPr>
  </w:style>
  <w:style w:type="character" w:customStyle="1" w:styleId="PisMrk">
    <w:name w:val="Päis Märk"/>
    <w:link w:val="Pis"/>
    <w:locked/>
    <w:rsid w:val="00196FB6"/>
    <w:rPr>
      <w:sz w:val="24"/>
      <w:szCs w:val="24"/>
      <w:lang w:val="et-EE" w:eastAsia="en-US" w:bidi="ar-SA"/>
    </w:rPr>
  </w:style>
  <w:style w:type="character" w:customStyle="1" w:styleId="CharChar3">
    <w:name w:val="Char Char3"/>
    <w:locked/>
    <w:rsid w:val="00196FB6"/>
    <w:rPr>
      <w:rFonts w:cs="Times New Roman"/>
      <w:lang w:val="et-EE"/>
    </w:rPr>
  </w:style>
  <w:style w:type="character" w:customStyle="1" w:styleId="BookTitle1">
    <w:name w:val="Book Title1"/>
    <w:qFormat/>
    <w:rsid w:val="00196FB6"/>
    <w:rPr>
      <w:b/>
      <w:bCs/>
      <w:smallCaps/>
      <w:spacing w:val="5"/>
    </w:rPr>
  </w:style>
  <w:style w:type="character" w:customStyle="1" w:styleId="KommentaaritekstMrk">
    <w:name w:val="Kommentaari tekst Märk"/>
    <w:link w:val="Kommentaaritekst"/>
    <w:semiHidden/>
    <w:locked/>
    <w:rsid w:val="00EB6A1D"/>
    <w:rPr>
      <w:lang w:val="et-EE" w:eastAsia="en-US" w:bidi="ar-SA"/>
    </w:rPr>
  </w:style>
  <w:style w:type="paragraph" w:styleId="Loendilik">
    <w:name w:val="List Paragraph"/>
    <w:basedOn w:val="Normaallaad"/>
    <w:uiPriority w:val="34"/>
    <w:qFormat/>
    <w:rsid w:val="00E46225"/>
    <w:pPr>
      <w:ind w:left="720"/>
      <w:contextualSpacing/>
    </w:pPr>
  </w:style>
  <w:style w:type="paragraph" w:customStyle="1" w:styleId="Default">
    <w:name w:val="Default"/>
    <w:rsid w:val="00BA40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Default">
    <w:name w:val="WW-Default"/>
    <w:rsid w:val="000B2E25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A4CA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ormaallaad1">
    <w:name w:val="Normaallaad1"/>
    <w:rsid w:val="00AA4CA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4CAC"/>
    <w:pPr>
      <w:suppressLineNumbers/>
    </w:pPr>
  </w:style>
  <w:style w:type="character" w:customStyle="1" w:styleId="Liguvaikefont1">
    <w:name w:val="Lõigu vaikefont1"/>
    <w:rsid w:val="00AA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0B9C-F7CC-4CA2-BA24-FC7B8BF3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1876</Words>
  <Characters>10881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Sotsiaalvaldkonna kutsekvalifikatsioonide tõendamise ja omistamise kord</vt:lpstr>
      <vt:lpstr>Sotsiaalvaldkonna kutsekvalifikatsioonide tõendamise ja omistamise kord</vt:lpstr>
      <vt:lpstr>Sotsiaalvaldkonna kutsekvalifikatsioonide tõendamise ja omistamise kord</vt:lpstr>
    </vt:vector>
  </TitlesOfParts>
  <Company>Grizli777</Company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Sotsiaalvaldkonna kutsekvalifikatsioonide tõendamise ja omistamise kord</dc:title>
  <dc:subject/>
  <dc:creator>user</dc:creator>
  <cp:keywords/>
  <cp:lastModifiedBy>Helen Peeker</cp:lastModifiedBy>
  <cp:revision>11</cp:revision>
  <cp:lastPrinted>2003-06-30T13:17:00Z</cp:lastPrinted>
  <dcterms:created xsi:type="dcterms:W3CDTF">2017-06-16T07:51:00Z</dcterms:created>
  <dcterms:modified xsi:type="dcterms:W3CDTF">2017-06-26T07:04:00Z</dcterms:modified>
</cp:coreProperties>
</file>